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C7B" w:rsidRDefault="00352C7B" w:rsidP="00C246AA">
      <w:pPr>
        <w:spacing w:line="480" w:lineRule="auto"/>
        <w:jc w:val="center"/>
        <w:rPr>
          <w:rFonts w:cs="Arial"/>
          <w:sz w:val="24"/>
          <w:szCs w:val="24"/>
          <w:shd w:val="clear" w:color="auto" w:fill="FFFFFF"/>
        </w:rPr>
      </w:pPr>
    </w:p>
    <w:p w:rsidR="00352C7B" w:rsidRDefault="00352C7B" w:rsidP="00C246AA">
      <w:pPr>
        <w:spacing w:line="480" w:lineRule="auto"/>
        <w:jc w:val="center"/>
        <w:rPr>
          <w:rFonts w:cs="Arial"/>
          <w:sz w:val="24"/>
          <w:szCs w:val="24"/>
          <w:shd w:val="clear" w:color="auto" w:fill="FFFFFF"/>
        </w:rPr>
      </w:pPr>
    </w:p>
    <w:p w:rsidR="00352C7B" w:rsidRDefault="00352C7B" w:rsidP="00C246AA">
      <w:pPr>
        <w:spacing w:line="480" w:lineRule="auto"/>
        <w:jc w:val="center"/>
        <w:rPr>
          <w:rFonts w:cs="Arial"/>
          <w:sz w:val="24"/>
          <w:szCs w:val="24"/>
          <w:shd w:val="clear" w:color="auto" w:fill="FFFFFF"/>
        </w:rPr>
      </w:pPr>
    </w:p>
    <w:p w:rsidR="00352C7B" w:rsidRDefault="00352C7B" w:rsidP="00C246AA">
      <w:pPr>
        <w:spacing w:line="480" w:lineRule="auto"/>
        <w:jc w:val="center"/>
        <w:rPr>
          <w:rFonts w:cs="Arial"/>
          <w:sz w:val="24"/>
          <w:szCs w:val="24"/>
          <w:shd w:val="clear" w:color="auto" w:fill="FFFFFF"/>
        </w:rPr>
      </w:pPr>
    </w:p>
    <w:p w:rsidR="00C246AA" w:rsidRPr="00B54F61" w:rsidRDefault="00FA775A" w:rsidP="00C246AA">
      <w:pPr>
        <w:spacing w:line="480" w:lineRule="auto"/>
        <w:jc w:val="center"/>
        <w:rPr>
          <w:rFonts w:cs="Arial"/>
          <w:b/>
          <w:sz w:val="24"/>
          <w:szCs w:val="24"/>
          <w:shd w:val="clear" w:color="auto" w:fill="FFFFFF"/>
        </w:rPr>
      </w:pPr>
      <w:r w:rsidRPr="00B54F61">
        <w:rPr>
          <w:rFonts w:cs="Arial"/>
          <w:b/>
          <w:sz w:val="24"/>
          <w:szCs w:val="24"/>
          <w:shd w:val="clear" w:color="auto" w:fill="FFFFFF"/>
        </w:rPr>
        <w:t>Walmart analysis</w:t>
      </w:r>
    </w:p>
    <w:p w:rsidR="00352C7B" w:rsidRDefault="00352C7B" w:rsidP="00C246AA">
      <w:pPr>
        <w:spacing w:line="480" w:lineRule="auto"/>
        <w:jc w:val="center"/>
        <w:rPr>
          <w:rFonts w:cs="Arial"/>
          <w:sz w:val="24"/>
          <w:szCs w:val="24"/>
          <w:shd w:val="clear" w:color="auto" w:fill="FFFFFF"/>
        </w:rPr>
      </w:pPr>
    </w:p>
    <w:p w:rsidR="00C246AA" w:rsidRPr="00C246AA" w:rsidRDefault="00FA775A" w:rsidP="00C246AA">
      <w:pPr>
        <w:spacing w:line="480" w:lineRule="auto"/>
        <w:jc w:val="center"/>
        <w:rPr>
          <w:rFonts w:cs="Arial"/>
          <w:sz w:val="24"/>
          <w:szCs w:val="24"/>
          <w:shd w:val="clear" w:color="auto" w:fill="FFFFFF"/>
        </w:rPr>
      </w:pPr>
      <w:r w:rsidRPr="00C246AA">
        <w:rPr>
          <w:rFonts w:cs="Arial"/>
          <w:sz w:val="24"/>
          <w:szCs w:val="24"/>
          <w:shd w:val="clear" w:color="auto" w:fill="FFFFFF"/>
        </w:rPr>
        <w:t>Student's name</w:t>
      </w:r>
    </w:p>
    <w:p w:rsidR="00C246AA" w:rsidRPr="00C246AA" w:rsidRDefault="00FA775A" w:rsidP="008B359F">
      <w:pPr>
        <w:spacing w:line="480" w:lineRule="auto"/>
        <w:jc w:val="center"/>
        <w:rPr>
          <w:rFonts w:cs="Arial"/>
          <w:sz w:val="24"/>
          <w:szCs w:val="24"/>
          <w:shd w:val="clear" w:color="auto" w:fill="FFFFFF"/>
        </w:rPr>
      </w:pPr>
      <w:r w:rsidRPr="00C246AA">
        <w:rPr>
          <w:rFonts w:cs="Arial"/>
          <w:sz w:val="24"/>
          <w:szCs w:val="24"/>
          <w:shd w:val="clear" w:color="auto" w:fill="FFFFFF"/>
        </w:rPr>
        <w:t>Course name</w:t>
      </w:r>
    </w:p>
    <w:p w:rsidR="00C246AA" w:rsidRPr="00C246AA" w:rsidRDefault="00FA775A" w:rsidP="00C246AA">
      <w:pPr>
        <w:spacing w:line="480" w:lineRule="auto"/>
        <w:jc w:val="center"/>
        <w:rPr>
          <w:rFonts w:cs="Arial"/>
          <w:sz w:val="24"/>
          <w:szCs w:val="24"/>
          <w:shd w:val="clear" w:color="auto" w:fill="FFFFFF"/>
        </w:rPr>
      </w:pPr>
      <w:r w:rsidRPr="00C246AA">
        <w:rPr>
          <w:rFonts w:cs="Arial"/>
          <w:sz w:val="24"/>
          <w:szCs w:val="24"/>
          <w:shd w:val="clear" w:color="auto" w:fill="FFFFFF"/>
        </w:rPr>
        <w:t>Instructor's name</w:t>
      </w:r>
    </w:p>
    <w:p w:rsidR="00B54F61" w:rsidRDefault="00FA775A" w:rsidP="00C246AA">
      <w:pPr>
        <w:spacing w:line="480" w:lineRule="auto"/>
        <w:jc w:val="center"/>
      </w:pPr>
      <w:r w:rsidRPr="00C246AA">
        <w:rPr>
          <w:rFonts w:cs="Arial"/>
          <w:sz w:val="24"/>
          <w:szCs w:val="24"/>
          <w:shd w:val="clear" w:color="auto" w:fill="FFFFFF"/>
        </w:rPr>
        <w:t>Date submitted</w:t>
      </w:r>
    </w:p>
    <w:p w:rsidR="00B54F61" w:rsidRPr="00B54F61" w:rsidRDefault="00B54F61" w:rsidP="00B54F61"/>
    <w:p w:rsidR="00B54F61" w:rsidRPr="00B54F61" w:rsidRDefault="00B54F61" w:rsidP="00B54F61"/>
    <w:p w:rsidR="00B54F61" w:rsidRPr="00B54F61" w:rsidRDefault="00B54F61" w:rsidP="00B54F61"/>
    <w:p w:rsidR="00B54F61" w:rsidRPr="00B54F61" w:rsidRDefault="00B54F61" w:rsidP="00B54F61"/>
    <w:p w:rsidR="00B54F61" w:rsidRPr="00B54F61" w:rsidRDefault="00B54F61" w:rsidP="00B54F61"/>
    <w:p w:rsidR="00B54F61" w:rsidRPr="00B54F61" w:rsidRDefault="00B54F61" w:rsidP="00B54F61"/>
    <w:p w:rsidR="00B54F61" w:rsidRPr="00B54F61" w:rsidRDefault="00B54F61" w:rsidP="00B54F61"/>
    <w:p w:rsidR="00B54F61" w:rsidRDefault="00B54F61" w:rsidP="00B54F61"/>
    <w:p w:rsidR="00B54F61" w:rsidRDefault="00B54F61"/>
    <w:p w:rsidR="00E30503" w:rsidRDefault="00E30503" w:rsidP="00B54F61">
      <w:pPr>
        <w:spacing w:after="0" w:line="480" w:lineRule="auto"/>
        <w:ind w:firstLine="720"/>
        <w:rPr>
          <w:sz w:val="24"/>
          <w:szCs w:val="24"/>
        </w:rPr>
      </w:pPr>
    </w:p>
    <w:p w:rsidR="00F33204" w:rsidRDefault="00FA775A" w:rsidP="00B54F61">
      <w:pPr>
        <w:spacing w:after="0" w:line="480" w:lineRule="auto"/>
        <w:ind w:firstLine="720"/>
        <w:rPr>
          <w:sz w:val="24"/>
          <w:szCs w:val="24"/>
        </w:rPr>
      </w:pPr>
      <w:r>
        <w:rPr>
          <w:sz w:val="24"/>
          <w:szCs w:val="24"/>
        </w:rPr>
        <w:lastRenderedPageBreak/>
        <w:t>Walmart stores are one of the largest leading retail stores globally. Walton started in the United States in the 1960s.</w:t>
      </w:r>
      <w:r w:rsidR="00FD4D61">
        <w:rPr>
          <w:sz w:val="24"/>
          <w:szCs w:val="24"/>
        </w:rPr>
        <w:t xml:space="preserve"> </w:t>
      </w:r>
      <w:r w:rsidR="00937246">
        <w:rPr>
          <w:sz w:val="24"/>
          <w:szCs w:val="24"/>
        </w:rPr>
        <w:t>The</w:t>
      </w:r>
      <w:r w:rsidR="00FD4D61">
        <w:rPr>
          <w:sz w:val="24"/>
          <w:szCs w:val="24"/>
        </w:rPr>
        <w:t xml:space="preserve"> aim of</w:t>
      </w:r>
      <w:r w:rsidR="00937246">
        <w:rPr>
          <w:sz w:val="24"/>
          <w:szCs w:val="24"/>
        </w:rPr>
        <w:t xml:space="preserve"> opening these stores was to pr</w:t>
      </w:r>
      <w:r w:rsidR="00FD4D61">
        <w:rPr>
          <w:sz w:val="24"/>
          <w:szCs w:val="24"/>
        </w:rPr>
        <w:t xml:space="preserve">ovide low-cost commodities for the people in the </w:t>
      </w:r>
      <w:r w:rsidR="00937246">
        <w:rPr>
          <w:sz w:val="24"/>
          <w:szCs w:val="24"/>
        </w:rPr>
        <w:t>United States</w:t>
      </w:r>
      <w:r w:rsidR="00FD4D61">
        <w:rPr>
          <w:sz w:val="24"/>
          <w:szCs w:val="24"/>
        </w:rPr>
        <w:t xml:space="preserve">. </w:t>
      </w:r>
      <w:r w:rsidR="007B6B47">
        <w:rPr>
          <w:sz w:val="24"/>
          <w:szCs w:val="24"/>
        </w:rPr>
        <w:t xml:space="preserve">The store has had a long history of low-cost product provision. The company has gradually grown to an international level, </w:t>
      </w:r>
      <w:r w:rsidR="004C447C">
        <w:rPr>
          <w:sz w:val="24"/>
          <w:szCs w:val="24"/>
        </w:rPr>
        <w:t xml:space="preserve">with other global companies like amazon being the main competitors. The growth and expansion led to the establishment of stores in different states and other countries across the world. Walmart's main strategy to provide low-cost prices for </w:t>
      </w:r>
      <w:r w:rsidR="00BE492E">
        <w:rPr>
          <w:sz w:val="24"/>
          <w:szCs w:val="24"/>
        </w:rPr>
        <w:t xml:space="preserve">its </w:t>
      </w:r>
      <w:r w:rsidR="004C447C">
        <w:rPr>
          <w:sz w:val="24"/>
          <w:szCs w:val="24"/>
        </w:rPr>
        <w:t>retail good helped ensure more and more customers were reached over time</w:t>
      </w:r>
      <w:r w:rsidR="00AA0AB1" w:rsidRPr="00AA0AB1">
        <w:rPr>
          <w:rFonts w:cs="Arial"/>
          <w:color w:val="222222"/>
          <w:sz w:val="24"/>
          <w:szCs w:val="24"/>
          <w:shd w:val="clear" w:color="auto" w:fill="FFFFFF"/>
        </w:rPr>
        <w:t xml:space="preserve"> </w:t>
      </w:r>
      <w:r w:rsidR="00AA0AB1">
        <w:rPr>
          <w:rFonts w:cs="Arial"/>
          <w:color w:val="222222"/>
          <w:sz w:val="24"/>
          <w:szCs w:val="24"/>
          <w:shd w:val="clear" w:color="auto" w:fill="FFFFFF"/>
        </w:rPr>
        <w:t>(</w:t>
      </w:r>
      <w:proofErr w:type="spellStart"/>
      <w:r w:rsidR="00AA0AB1">
        <w:rPr>
          <w:rFonts w:cs="Arial"/>
          <w:color w:val="222222"/>
          <w:sz w:val="24"/>
          <w:szCs w:val="24"/>
          <w:shd w:val="clear" w:color="auto" w:fill="FFFFFF"/>
        </w:rPr>
        <w:t>Pingolia</w:t>
      </w:r>
      <w:proofErr w:type="spellEnd"/>
      <w:r w:rsidR="00AA0AB1">
        <w:rPr>
          <w:rFonts w:cs="Arial"/>
          <w:color w:val="222222"/>
          <w:sz w:val="24"/>
          <w:szCs w:val="24"/>
          <w:shd w:val="clear" w:color="auto" w:fill="FFFFFF"/>
        </w:rPr>
        <w:t>, 2020)</w:t>
      </w:r>
      <w:r w:rsidR="004C447C">
        <w:rPr>
          <w:sz w:val="24"/>
          <w:szCs w:val="24"/>
        </w:rPr>
        <w:t xml:space="preserve">. </w:t>
      </w:r>
      <w:r w:rsidR="008C4474">
        <w:rPr>
          <w:sz w:val="24"/>
          <w:szCs w:val="24"/>
        </w:rPr>
        <w:t xml:space="preserve">The vision and already established market strategy for Walton has helped this store remain in the market and gain a market position over time. This retail store's growth is expected to increase in the coming years due to its continued customer loyalty and continued good customer service. </w:t>
      </w:r>
    </w:p>
    <w:p w:rsidR="008C4474" w:rsidRDefault="00FA775A" w:rsidP="00B54F61">
      <w:pPr>
        <w:spacing w:after="0" w:line="480" w:lineRule="auto"/>
        <w:ind w:firstLine="720"/>
        <w:rPr>
          <w:sz w:val="24"/>
          <w:szCs w:val="24"/>
        </w:rPr>
      </w:pPr>
      <w:r>
        <w:rPr>
          <w:sz w:val="24"/>
          <w:szCs w:val="24"/>
        </w:rPr>
        <w:t>Walmart retails stores is regarded</w:t>
      </w:r>
      <w:r w:rsidR="009F36FA">
        <w:rPr>
          <w:sz w:val="24"/>
          <w:szCs w:val="24"/>
        </w:rPr>
        <w:t xml:space="preserve"> </w:t>
      </w:r>
      <w:r>
        <w:rPr>
          <w:sz w:val="24"/>
          <w:szCs w:val="24"/>
        </w:rPr>
        <w:t>as one of the large</w:t>
      </w:r>
      <w:r w:rsidR="009F36FA">
        <w:rPr>
          <w:sz w:val="24"/>
          <w:szCs w:val="24"/>
        </w:rPr>
        <w:t>st</w:t>
      </w:r>
      <w:r>
        <w:rPr>
          <w:sz w:val="24"/>
          <w:szCs w:val="24"/>
        </w:rPr>
        <w:t xml:space="preserve"> employers in the </w:t>
      </w:r>
      <w:r w:rsidR="009F36FA">
        <w:rPr>
          <w:sz w:val="24"/>
          <w:szCs w:val="24"/>
        </w:rPr>
        <w:t>United States</w:t>
      </w:r>
      <w:r>
        <w:rPr>
          <w:sz w:val="24"/>
          <w:szCs w:val="24"/>
        </w:rPr>
        <w:t xml:space="preserve"> as well as all other countries it has its retail stores in. </w:t>
      </w:r>
      <w:r w:rsidR="00E375CF">
        <w:rPr>
          <w:sz w:val="24"/>
          <w:szCs w:val="24"/>
        </w:rPr>
        <w:t>despite the complaints that it is one of the worst employers, Walmart has continued to provide jobs to numerous people in any region where it is situated</w:t>
      </w:r>
      <w:r w:rsidR="00362F35" w:rsidRPr="00362F35">
        <w:rPr>
          <w:rFonts w:cs="Arial"/>
          <w:color w:val="222222"/>
          <w:sz w:val="24"/>
          <w:szCs w:val="24"/>
          <w:shd w:val="clear" w:color="auto" w:fill="FFFFFF"/>
        </w:rPr>
        <w:t xml:space="preserve"> </w:t>
      </w:r>
      <w:r w:rsidR="00362F35">
        <w:rPr>
          <w:rFonts w:cs="Arial"/>
          <w:color w:val="222222"/>
          <w:sz w:val="24"/>
          <w:szCs w:val="24"/>
          <w:shd w:val="clear" w:color="auto" w:fill="FFFFFF"/>
        </w:rPr>
        <w:t>(Chang and Hu, 2020)</w:t>
      </w:r>
      <w:r w:rsidR="00E375CF">
        <w:rPr>
          <w:sz w:val="24"/>
          <w:szCs w:val="24"/>
        </w:rPr>
        <w:t xml:space="preserve">. </w:t>
      </w:r>
      <w:r w:rsidR="003F2AFD">
        <w:rPr>
          <w:sz w:val="24"/>
          <w:szCs w:val="24"/>
        </w:rPr>
        <w:t xml:space="preserve">The low wages to the employees has been a major challenge. Despite this, the retail store has been able to continually provide low-cost goods for the people and </w:t>
      </w:r>
      <w:r w:rsidR="00853C23">
        <w:rPr>
          <w:sz w:val="24"/>
          <w:szCs w:val="24"/>
        </w:rPr>
        <w:t>support</w:t>
      </w:r>
      <w:r w:rsidR="003F2AFD">
        <w:rPr>
          <w:sz w:val="24"/>
          <w:szCs w:val="24"/>
        </w:rPr>
        <w:t xml:space="preserve"> the poor. As a </w:t>
      </w:r>
      <w:r w:rsidR="00853C23">
        <w:rPr>
          <w:sz w:val="24"/>
          <w:szCs w:val="24"/>
        </w:rPr>
        <w:t>result</w:t>
      </w:r>
      <w:r w:rsidR="003F2AFD">
        <w:rPr>
          <w:sz w:val="24"/>
          <w:szCs w:val="24"/>
        </w:rPr>
        <w:t xml:space="preserve">, this has ensured that low-income people can afford basics and </w:t>
      </w:r>
      <w:r w:rsidR="00853C23">
        <w:rPr>
          <w:sz w:val="24"/>
          <w:szCs w:val="24"/>
        </w:rPr>
        <w:t>lift</w:t>
      </w:r>
      <w:r w:rsidR="003F2AFD">
        <w:rPr>
          <w:sz w:val="24"/>
          <w:szCs w:val="24"/>
        </w:rPr>
        <w:t xml:space="preserve"> the poverty level by two-thirds in the </w:t>
      </w:r>
      <w:r w:rsidR="0063322E">
        <w:rPr>
          <w:sz w:val="24"/>
          <w:szCs w:val="24"/>
        </w:rPr>
        <w:t>United States</w:t>
      </w:r>
      <w:r w:rsidR="003F2AFD">
        <w:rPr>
          <w:sz w:val="24"/>
          <w:szCs w:val="24"/>
        </w:rPr>
        <w:t xml:space="preserve">. </w:t>
      </w:r>
      <w:r w:rsidR="0063322E">
        <w:rPr>
          <w:sz w:val="24"/>
          <w:szCs w:val="24"/>
        </w:rPr>
        <w:t xml:space="preserve">Global growth will be </w:t>
      </w:r>
      <w:r w:rsidR="00DA5D3E">
        <w:rPr>
          <w:sz w:val="24"/>
          <w:szCs w:val="24"/>
        </w:rPr>
        <w:t>continue</w:t>
      </w:r>
      <w:r w:rsidR="0063322E">
        <w:rPr>
          <w:sz w:val="24"/>
          <w:szCs w:val="24"/>
        </w:rPr>
        <w:t xml:space="preserve">d and can be </w:t>
      </w:r>
      <w:r w:rsidR="00DA5D3E">
        <w:rPr>
          <w:sz w:val="24"/>
          <w:szCs w:val="24"/>
        </w:rPr>
        <w:t>done</w:t>
      </w:r>
      <w:r w:rsidR="0063322E">
        <w:rPr>
          <w:sz w:val="24"/>
          <w:szCs w:val="24"/>
        </w:rPr>
        <w:t xml:space="preserve"> by ensuring they venture into more and more </w:t>
      </w:r>
      <w:r w:rsidR="00DA5D3E">
        <w:rPr>
          <w:sz w:val="24"/>
          <w:szCs w:val="24"/>
        </w:rPr>
        <w:t>countries</w:t>
      </w:r>
      <w:r w:rsidR="0063322E">
        <w:rPr>
          <w:sz w:val="24"/>
          <w:szCs w:val="24"/>
        </w:rPr>
        <w:t xml:space="preserve"> worldwide. </w:t>
      </w:r>
    </w:p>
    <w:p w:rsidR="000F217D" w:rsidRDefault="000F217D" w:rsidP="00B54F61">
      <w:pPr>
        <w:spacing w:after="0" w:line="480" w:lineRule="auto"/>
        <w:ind w:firstLine="720"/>
        <w:rPr>
          <w:sz w:val="24"/>
          <w:szCs w:val="24"/>
        </w:rPr>
      </w:pPr>
    </w:p>
    <w:p w:rsidR="000F217D" w:rsidRDefault="000F217D" w:rsidP="00B54F61">
      <w:pPr>
        <w:spacing w:after="0" w:line="480" w:lineRule="auto"/>
        <w:ind w:firstLine="720"/>
        <w:rPr>
          <w:sz w:val="24"/>
          <w:szCs w:val="24"/>
        </w:rPr>
      </w:pPr>
    </w:p>
    <w:p w:rsidR="000F217D" w:rsidRDefault="00FA775A" w:rsidP="00B54F61">
      <w:pPr>
        <w:spacing w:after="0" w:line="480" w:lineRule="auto"/>
        <w:ind w:firstLine="720"/>
        <w:rPr>
          <w:sz w:val="24"/>
          <w:szCs w:val="24"/>
        </w:rPr>
      </w:pPr>
      <w:r>
        <w:rPr>
          <w:sz w:val="24"/>
          <w:szCs w:val="24"/>
        </w:rPr>
        <w:lastRenderedPageBreak/>
        <w:t xml:space="preserve">Compared to other competitors like Amazon, Walmart stores have not yet reached out to many </w:t>
      </w:r>
      <w:r w:rsidR="003F11FD">
        <w:rPr>
          <w:sz w:val="24"/>
          <w:szCs w:val="24"/>
        </w:rPr>
        <w:t xml:space="preserve">customers globally. With technology changes and the desire for convenience, customers have moved to online </w:t>
      </w:r>
      <w:r w:rsidR="00F75692">
        <w:rPr>
          <w:sz w:val="24"/>
          <w:szCs w:val="24"/>
        </w:rPr>
        <w:t>services</w:t>
      </w:r>
      <w:r w:rsidR="003F11FD">
        <w:rPr>
          <w:sz w:val="24"/>
          <w:szCs w:val="24"/>
        </w:rPr>
        <w:t xml:space="preserve"> rather than visiting retail </w:t>
      </w:r>
      <w:r w:rsidR="00F75692">
        <w:rPr>
          <w:sz w:val="24"/>
          <w:szCs w:val="24"/>
        </w:rPr>
        <w:t>stores</w:t>
      </w:r>
      <w:r w:rsidR="003F11FD">
        <w:rPr>
          <w:sz w:val="24"/>
          <w:szCs w:val="24"/>
        </w:rPr>
        <w:t xml:space="preserve">. As used by amazon, this strategy has helped reach out to more clients, </w:t>
      </w:r>
      <w:r w:rsidR="00BB26C6">
        <w:rPr>
          <w:sz w:val="24"/>
          <w:szCs w:val="24"/>
        </w:rPr>
        <w:t>even in regions</w:t>
      </w:r>
      <w:r w:rsidR="003F11FD">
        <w:rPr>
          <w:sz w:val="24"/>
          <w:szCs w:val="24"/>
        </w:rPr>
        <w:t xml:space="preserve"> where there are no retail stores for them. </w:t>
      </w:r>
      <w:r w:rsidR="00BB26C6">
        <w:rPr>
          <w:sz w:val="24"/>
          <w:szCs w:val="24"/>
        </w:rPr>
        <w:t>Walmart can embrace this technology and help reach out to the customers in the regions where they lack Walmart stores</w:t>
      </w:r>
      <w:r w:rsidR="004E16EA" w:rsidRPr="004E16EA">
        <w:rPr>
          <w:rFonts w:cs="Arial"/>
          <w:color w:val="222222"/>
          <w:sz w:val="24"/>
          <w:szCs w:val="24"/>
          <w:shd w:val="clear" w:color="auto" w:fill="FFFFFF"/>
        </w:rPr>
        <w:t xml:space="preserve"> </w:t>
      </w:r>
      <w:r w:rsidR="004E16EA">
        <w:rPr>
          <w:rFonts w:cs="Arial"/>
          <w:color w:val="222222"/>
          <w:sz w:val="24"/>
          <w:szCs w:val="24"/>
          <w:shd w:val="clear" w:color="auto" w:fill="FFFFFF"/>
        </w:rPr>
        <w:t>(</w:t>
      </w:r>
      <w:proofErr w:type="spellStart"/>
      <w:r w:rsidR="004E16EA">
        <w:rPr>
          <w:rFonts w:cs="Arial"/>
          <w:color w:val="222222"/>
          <w:sz w:val="24"/>
          <w:szCs w:val="24"/>
          <w:shd w:val="clear" w:color="auto" w:fill="FFFFFF"/>
        </w:rPr>
        <w:t>Ndirangu</w:t>
      </w:r>
      <w:proofErr w:type="spellEnd"/>
      <w:r w:rsidR="004E16EA">
        <w:rPr>
          <w:rFonts w:cs="Arial"/>
          <w:color w:val="222222"/>
          <w:sz w:val="24"/>
          <w:szCs w:val="24"/>
          <w:shd w:val="clear" w:color="auto" w:fill="FFFFFF"/>
        </w:rPr>
        <w:t>, et al., 2019)</w:t>
      </w:r>
      <w:r w:rsidR="00BB26C6">
        <w:rPr>
          <w:sz w:val="24"/>
          <w:szCs w:val="24"/>
        </w:rPr>
        <w:t xml:space="preserve">. Deliveries and pickup points would be most convenient for most customers. For instance, during this covid-19 pandemic time, amazon still had its sales intact due to the provision of online services and </w:t>
      </w:r>
      <w:r w:rsidR="00BC7DCA">
        <w:rPr>
          <w:sz w:val="24"/>
          <w:szCs w:val="24"/>
        </w:rPr>
        <w:t xml:space="preserve">door to door </w:t>
      </w:r>
      <w:r w:rsidR="00BE6388">
        <w:rPr>
          <w:sz w:val="24"/>
          <w:szCs w:val="24"/>
        </w:rPr>
        <w:t>delivery</w:t>
      </w:r>
      <w:r w:rsidR="00BC7DCA">
        <w:rPr>
          <w:sz w:val="24"/>
          <w:szCs w:val="24"/>
        </w:rPr>
        <w:t xml:space="preserve"> services. During the pandemic, people avoided walking into stores, and hence online services worked best. </w:t>
      </w:r>
    </w:p>
    <w:p w:rsidR="00BE6388" w:rsidRDefault="00FA775A" w:rsidP="00B54F61">
      <w:pPr>
        <w:spacing w:after="0" w:line="480" w:lineRule="auto"/>
        <w:ind w:firstLine="720"/>
        <w:rPr>
          <w:sz w:val="24"/>
          <w:szCs w:val="24"/>
        </w:rPr>
      </w:pPr>
      <w:r>
        <w:rPr>
          <w:sz w:val="24"/>
          <w:szCs w:val="24"/>
        </w:rPr>
        <w:t xml:space="preserve">The expansion and opening of a new branch for this store require that one has done market research regarding the region. Despite the retail store being recognized globally, some factors can lead to the store not doing well in some regions. Political instabilities and barriers to entry and poor economic times can be a major challenge. Investing in developing countries and especially in Africa can be a breakthrough for </w:t>
      </w:r>
      <w:r w:rsidR="00E44C9C">
        <w:rPr>
          <w:sz w:val="24"/>
          <w:szCs w:val="24"/>
        </w:rPr>
        <w:t>Walmart</w:t>
      </w:r>
      <w:r>
        <w:rPr>
          <w:sz w:val="24"/>
          <w:szCs w:val="24"/>
        </w:rPr>
        <w:t xml:space="preserve"> stores. </w:t>
      </w:r>
      <w:r w:rsidR="00044EBE">
        <w:rPr>
          <w:sz w:val="24"/>
          <w:szCs w:val="24"/>
        </w:rPr>
        <w:t xml:space="preserve">Cairo, the major city in Egypt, can be a starting point, for instance, to open the door in Africa. </w:t>
      </w:r>
      <w:r w:rsidR="004923C2">
        <w:rPr>
          <w:sz w:val="24"/>
          <w:szCs w:val="24"/>
        </w:rPr>
        <w:t xml:space="preserve">It can be first important to understand the potentials of this country and its limitations as well. This will help ensure the </w:t>
      </w:r>
      <w:r w:rsidR="00163753">
        <w:rPr>
          <w:sz w:val="24"/>
          <w:szCs w:val="24"/>
        </w:rPr>
        <w:t>investment</w:t>
      </w:r>
      <w:r w:rsidR="004923C2">
        <w:rPr>
          <w:sz w:val="24"/>
          <w:szCs w:val="24"/>
        </w:rPr>
        <w:t xml:space="preserve"> does not fail in the long run. </w:t>
      </w:r>
      <w:r w:rsidR="00163753">
        <w:rPr>
          <w:sz w:val="24"/>
          <w:szCs w:val="24"/>
        </w:rPr>
        <w:t xml:space="preserve">A developing country in African guarantees continued growth of the economy. Hence, the retail stores will be part of the growth by having provisions for the </w:t>
      </w:r>
      <w:r w:rsidR="00E86F0A">
        <w:rPr>
          <w:sz w:val="24"/>
          <w:szCs w:val="24"/>
        </w:rPr>
        <w:t xml:space="preserve">low-income and poor people in the country. </w:t>
      </w:r>
    </w:p>
    <w:p w:rsidR="008F4E53" w:rsidRDefault="008F4E53" w:rsidP="00B54F61">
      <w:pPr>
        <w:spacing w:after="0" w:line="480" w:lineRule="auto"/>
        <w:ind w:firstLine="720"/>
        <w:rPr>
          <w:sz w:val="24"/>
          <w:szCs w:val="24"/>
        </w:rPr>
      </w:pPr>
    </w:p>
    <w:p w:rsidR="008F4E53" w:rsidRDefault="008F4E53" w:rsidP="00B54F61">
      <w:pPr>
        <w:spacing w:after="0" w:line="480" w:lineRule="auto"/>
        <w:ind w:firstLine="720"/>
        <w:rPr>
          <w:sz w:val="24"/>
          <w:szCs w:val="24"/>
        </w:rPr>
      </w:pPr>
    </w:p>
    <w:p w:rsidR="008F4E53" w:rsidRDefault="00FA775A" w:rsidP="00B54F61">
      <w:pPr>
        <w:spacing w:after="0" w:line="480" w:lineRule="auto"/>
        <w:ind w:firstLine="720"/>
        <w:rPr>
          <w:sz w:val="24"/>
          <w:szCs w:val="24"/>
        </w:rPr>
      </w:pPr>
      <w:r>
        <w:rPr>
          <w:sz w:val="24"/>
          <w:szCs w:val="24"/>
        </w:rPr>
        <w:lastRenderedPageBreak/>
        <w:t xml:space="preserve">The fact that </w:t>
      </w:r>
      <w:r w:rsidR="001F4CB3">
        <w:rPr>
          <w:sz w:val="24"/>
          <w:szCs w:val="24"/>
        </w:rPr>
        <w:t>Walmart</w:t>
      </w:r>
      <w:r>
        <w:rPr>
          <w:sz w:val="24"/>
          <w:szCs w:val="24"/>
        </w:rPr>
        <w:t xml:space="preserve"> is an internationally recognized company makes it easy for people to identify with it. This can be regarded as a competitive advantage for the retail store. </w:t>
      </w:r>
      <w:r w:rsidR="00D91666">
        <w:rPr>
          <w:sz w:val="24"/>
          <w:szCs w:val="24"/>
        </w:rPr>
        <w:t xml:space="preserve">Marketing research should ensure that this information is first obtained to ensure the city's choice in the region is right. The fact that the </w:t>
      </w:r>
      <w:r w:rsidR="00030480">
        <w:rPr>
          <w:sz w:val="24"/>
          <w:szCs w:val="24"/>
        </w:rPr>
        <w:t>Walmart</w:t>
      </w:r>
      <w:r w:rsidR="00D91666">
        <w:rPr>
          <w:sz w:val="24"/>
          <w:szCs w:val="24"/>
        </w:rPr>
        <w:t xml:space="preserve"> retail store is globally recognized makes this reason a strength for the business venture. This will help save lots of money that are to be used for advertisement </w:t>
      </w:r>
      <w:r w:rsidR="00722099">
        <w:rPr>
          <w:sz w:val="24"/>
          <w:szCs w:val="24"/>
        </w:rPr>
        <w:t xml:space="preserve">and marketing. </w:t>
      </w:r>
      <w:r w:rsidR="00FD423F">
        <w:rPr>
          <w:sz w:val="24"/>
          <w:szCs w:val="24"/>
        </w:rPr>
        <w:t xml:space="preserve">The low market prices for this retail outlet will attract so many buyers and customers and ensure that the retail store thrives in this new region. </w:t>
      </w:r>
    </w:p>
    <w:p w:rsidR="00E00401" w:rsidRDefault="00FA775A" w:rsidP="00B54F61">
      <w:pPr>
        <w:spacing w:after="0" w:line="480" w:lineRule="auto"/>
        <w:ind w:firstLine="720"/>
        <w:rPr>
          <w:sz w:val="24"/>
          <w:szCs w:val="24"/>
        </w:rPr>
      </w:pPr>
      <w:r>
        <w:rPr>
          <w:sz w:val="24"/>
          <w:szCs w:val="24"/>
        </w:rPr>
        <w:t xml:space="preserve">The price range of commodities at </w:t>
      </w:r>
      <w:r w:rsidR="005F4179">
        <w:rPr>
          <w:sz w:val="24"/>
          <w:szCs w:val="24"/>
        </w:rPr>
        <w:t>Walmart</w:t>
      </w:r>
      <w:r>
        <w:rPr>
          <w:sz w:val="24"/>
          <w:szCs w:val="24"/>
        </w:rPr>
        <w:t xml:space="preserve"> makes it the number one </w:t>
      </w:r>
      <w:r w:rsidR="005F4179">
        <w:rPr>
          <w:sz w:val="24"/>
          <w:szCs w:val="24"/>
        </w:rPr>
        <w:t>preferable</w:t>
      </w:r>
      <w:r>
        <w:rPr>
          <w:sz w:val="24"/>
          <w:szCs w:val="24"/>
        </w:rPr>
        <w:t xml:space="preserve"> retail stores in the regions where it has been established. This, as well, can be regarded as a competitive advantage as well as strength. </w:t>
      </w:r>
      <w:r w:rsidR="00971E2E">
        <w:rPr>
          <w:sz w:val="24"/>
          <w:szCs w:val="24"/>
        </w:rPr>
        <w:t xml:space="preserve">Walmart retail stores have preferably low prices since the first time it was established. This strategy helped it gain popularity as well as a market position. As </w:t>
      </w:r>
      <w:r w:rsidR="00A57E93">
        <w:rPr>
          <w:sz w:val="24"/>
          <w:szCs w:val="24"/>
        </w:rPr>
        <w:t xml:space="preserve">a result, it helps </w:t>
      </w:r>
      <w:r w:rsidR="00971E2E">
        <w:rPr>
          <w:sz w:val="24"/>
          <w:szCs w:val="24"/>
        </w:rPr>
        <w:t>improve many people who could now afford basic needs due to the low prices</w:t>
      </w:r>
      <w:r w:rsidR="00E46228" w:rsidRPr="00E46228">
        <w:rPr>
          <w:rFonts w:cs="Arial"/>
          <w:color w:val="222222"/>
          <w:sz w:val="24"/>
          <w:szCs w:val="24"/>
          <w:shd w:val="clear" w:color="auto" w:fill="FFFFFF"/>
        </w:rPr>
        <w:t xml:space="preserve"> </w:t>
      </w:r>
      <w:r w:rsidR="00E46228">
        <w:rPr>
          <w:rFonts w:cs="Arial"/>
          <w:color w:val="222222"/>
          <w:sz w:val="24"/>
          <w:szCs w:val="24"/>
          <w:shd w:val="clear" w:color="auto" w:fill="FFFFFF"/>
        </w:rPr>
        <w:t>(</w:t>
      </w:r>
      <w:proofErr w:type="spellStart"/>
      <w:r w:rsidR="00E46228">
        <w:rPr>
          <w:rFonts w:cs="Arial"/>
          <w:color w:val="222222"/>
          <w:sz w:val="24"/>
          <w:szCs w:val="24"/>
          <w:shd w:val="clear" w:color="auto" w:fill="FFFFFF"/>
        </w:rPr>
        <w:t>LeCavalier</w:t>
      </w:r>
      <w:proofErr w:type="spellEnd"/>
      <w:r w:rsidR="00E46228">
        <w:rPr>
          <w:rFonts w:cs="Arial"/>
          <w:color w:val="222222"/>
          <w:sz w:val="24"/>
          <w:szCs w:val="24"/>
          <w:shd w:val="clear" w:color="auto" w:fill="FFFFFF"/>
        </w:rPr>
        <w:t>, 2016)</w:t>
      </w:r>
      <w:r w:rsidR="00971E2E">
        <w:rPr>
          <w:sz w:val="24"/>
          <w:szCs w:val="24"/>
        </w:rPr>
        <w:t xml:space="preserve">. </w:t>
      </w:r>
      <w:r w:rsidR="006F7D46">
        <w:rPr>
          <w:sz w:val="24"/>
          <w:szCs w:val="24"/>
        </w:rPr>
        <w:t>Establishment of the new outlet</w:t>
      </w:r>
      <w:r w:rsidR="00370F22">
        <w:rPr>
          <w:sz w:val="24"/>
          <w:szCs w:val="24"/>
        </w:rPr>
        <w:t xml:space="preserve"> store in a developing country </w:t>
      </w:r>
      <w:r w:rsidR="006F7D46">
        <w:rPr>
          <w:sz w:val="24"/>
          <w:szCs w:val="24"/>
        </w:rPr>
        <w:t>would ensure that th</w:t>
      </w:r>
      <w:r w:rsidR="00370F22">
        <w:rPr>
          <w:sz w:val="24"/>
          <w:szCs w:val="24"/>
        </w:rPr>
        <w:t xml:space="preserve">is store thrives. </w:t>
      </w:r>
      <w:r w:rsidR="006C6DAF">
        <w:rPr>
          <w:sz w:val="24"/>
          <w:szCs w:val="24"/>
        </w:rPr>
        <w:t xml:space="preserve">The low prices the store has is an important market entry strategy for this retail store. The most important analysis important when establishing a new location for the store is market analysis. This will determine if the store will make any sales and profit or not. Hostile markets or any political instability will lead to the business's collapse, leading to business failure. </w:t>
      </w:r>
      <w:r w:rsidR="00CC7A09">
        <w:rPr>
          <w:sz w:val="24"/>
          <w:szCs w:val="24"/>
        </w:rPr>
        <w:t xml:space="preserve">The low prices and provision of jobs in </w:t>
      </w:r>
      <w:r w:rsidR="007E5DCF">
        <w:rPr>
          <w:sz w:val="24"/>
          <w:szCs w:val="24"/>
        </w:rPr>
        <w:t>Cairo</w:t>
      </w:r>
      <w:r w:rsidR="00CC7A09">
        <w:rPr>
          <w:sz w:val="24"/>
          <w:szCs w:val="24"/>
        </w:rPr>
        <w:t xml:space="preserve"> will help ensure that the retail store thrives here. </w:t>
      </w:r>
    </w:p>
    <w:p w:rsidR="005B5737" w:rsidRDefault="005B5737" w:rsidP="00B54F61">
      <w:pPr>
        <w:spacing w:after="0" w:line="480" w:lineRule="auto"/>
        <w:ind w:firstLine="720"/>
        <w:rPr>
          <w:sz w:val="24"/>
          <w:szCs w:val="24"/>
        </w:rPr>
      </w:pPr>
    </w:p>
    <w:p w:rsidR="005B5737" w:rsidRDefault="005B5737" w:rsidP="00B54F61">
      <w:pPr>
        <w:spacing w:after="0" w:line="480" w:lineRule="auto"/>
        <w:ind w:firstLine="720"/>
        <w:rPr>
          <w:sz w:val="24"/>
          <w:szCs w:val="24"/>
        </w:rPr>
      </w:pPr>
    </w:p>
    <w:p w:rsidR="005B5737" w:rsidRDefault="00FA775A" w:rsidP="00B54F61">
      <w:pPr>
        <w:spacing w:after="0" w:line="480" w:lineRule="auto"/>
        <w:ind w:firstLine="720"/>
        <w:rPr>
          <w:sz w:val="24"/>
          <w:szCs w:val="24"/>
        </w:rPr>
      </w:pPr>
      <w:r>
        <w:rPr>
          <w:sz w:val="24"/>
          <w:szCs w:val="24"/>
        </w:rPr>
        <w:lastRenderedPageBreak/>
        <w:t xml:space="preserve">Over the years, </w:t>
      </w:r>
      <w:r w:rsidR="0076313F">
        <w:rPr>
          <w:sz w:val="24"/>
          <w:szCs w:val="24"/>
        </w:rPr>
        <w:t>Walmart</w:t>
      </w:r>
      <w:r>
        <w:rPr>
          <w:sz w:val="24"/>
          <w:szCs w:val="24"/>
        </w:rPr>
        <w:t xml:space="preserve"> has increased </w:t>
      </w:r>
      <w:r w:rsidR="0076313F">
        <w:rPr>
          <w:sz w:val="24"/>
          <w:szCs w:val="24"/>
        </w:rPr>
        <w:t>its</w:t>
      </w:r>
      <w:r>
        <w:rPr>
          <w:sz w:val="24"/>
          <w:szCs w:val="24"/>
        </w:rPr>
        <w:t xml:space="preserve"> products from simple household goods to many other commodities and electronics. Consumer demands and buying potential dictate this expansion. </w:t>
      </w:r>
      <w:r w:rsidR="00082066">
        <w:rPr>
          <w:sz w:val="24"/>
          <w:szCs w:val="24"/>
        </w:rPr>
        <w:t xml:space="preserve">The growth of this company has been seen over a period of years. Compared to many other retail stores across the globe, Walmart remains the most superior physical store established. </w:t>
      </w:r>
      <w:r w:rsidR="00867B06">
        <w:rPr>
          <w:sz w:val="24"/>
          <w:szCs w:val="24"/>
        </w:rPr>
        <w:t>Despite the pandemic that occurred earlier this year, Walmart's retail store could thrive through the hard times</w:t>
      </w:r>
      <w:r w:rsidR="003F6C1D">
        <w:rPr>
          <w:rFonts w:cs="Arial"/>
          <w:color w:val="222222"/>
          <w:sz w:val="24"/>
          <w:szCs w:val="24"/>
          <w:shd w:val="clear" w:color="auto" w:fill="FFFFFF"/>
        </w:rPr>
        <w:t xml:space="preserve"> (</w:t>
      </w:r>
      <w:proofErr w:type="spellStart"/>
      <w:r w:rsidR="003F6C1D">
        <w:rPr>
          <w:rFonts w:cs="Arial"/>
          <w:color w:val="222222"/>
          <w:sz w:val="24"/>
          <w:szCs w:val="24"/>
          <w:shd w:val="clear" w:color="auto" w:fill="FFFFFF"/>
        </w:rPr>
        <w:t>Soares</w:t>
      </w:r>
      <w:proofErr w:type="spellEnd"/>
      <w:r w:rsidR="003F6C1D">
        <w:rPr>
          <w:rFonts w:cs="Arial"/>
          <w:color w:val="222222"/>
          <w:sz w:val="24"/>
          <w:szCs w:val="24"/>
          <w:shd w:val="clear" w:color="auto" w:fill="FFFFFF"/>
        </w:rPr>
        <w:t>, et al., 2020)</w:t>
      </w:r>
      <w:r w:rsidR="00867B06">
        <w:rPr>
          <w:sz w:val="24"/>
          <w:szCs w:val="24"/>
        </w:rPr>
        <w:t xml:space="preserve">. Any business's adaptability to the unforeseen future economic crisis is essential to ensure that </w:t>
      </w:r>
      <w:r w:rsidR="00F7247A">
        <w:rPr>
          <w:sz w:val="24"/>
          <w:szCs w:val="24"/>
        </w:rPr>
        <w:t xml:space="preserve">the business does not fail. </w:t>
      </w:r>
    </w:p>
    <w:p w:rsidR="00FC5007" w:rsidRDefault="00FA775A" w:rsidP="00B54F61">
      <w:pPr>
        <w:spacing w:after="0" w:line="480" w:lineRule="auto"/>
        <w:ind w:firstLine="720"/>
        <w:rPr>
          <w:sz w:val="24"/>
          <w:szCs w:val="24"/>
        </w:rPr>
      </w:pPr>
      <w:r>
        <w:rPr>
          <w:sz w:val="24"/>
          <w:szCs w:val="24"/>
        </w:rPr>
        <w:t>With the improvement in technology, many businesses find it important to incorporate an aspect of technology. Innovativeness is an aspect that has been embraced so much by this retail store. The use of information techno</w:t>
      </w:r>
      <w:r w:rsidR="00FC0EB7">
        <w:rPr>
          <w:sz w:val="24"/>
          <w:szCs w:val="24"/>
        </w:rPr>
        <w:t>logy to get customer feedback an</w:t>
      </w:r>
      <w:r>
        <w:rPr>
          <w:sz w:val="24"/>
          <w:szCs w:val="24"/>
        </w:rPr>
        <w:t xml:space="preserve">d </w:t>
      </w:r>
      <w:r w:rsidR="00FC0EB7">
        <w:rPr>
          <w:sz w:val="24"/>
          <w:szCs w:val="24"/>
        </w:rPr>
        <w:t>inquiries</w:t>
      </w:r>
      <w:r>
        <w:rPr>
          <w:sz w:val="24"/>
          <w:szCs w:val="24"/>
        </w:rPr>
        <w:t xml:space="preserve"> helps ensure that the customer service is monitored. This, as a result, will increase customer loyalty as well as increase their sales. Offering after-sales services is also important to ensure more customers choose </w:t>
      </w:r>
      <w:r w:rsidR="00FC0EB7">
        <w:rPr>
          <w:sz w:val="24"/>
          <w:szCs w:val="24"/>
        </w:rPr>
        <w:t>Walmart</w:t>
      </w:r>
      <w:r>
        <w:rPr>
          <w:sz w:val="24"/>
          <w:szCs w:val="24"/>
        </w:rPr>
        <w:t xml:space="preserve"> stores as their preferred retail store. </w:t>
      </w:r>
      <w:r w:rsidR="00C1364E">
        <w:rPr>
          <w:sz w:val="24"/>
          <w:szCs w:val="24"/>
        </w:rPr>
        <w:t xml:space="preserve">With improved technology, product traceability has become easier, and hence </w:t>
      </w:r>
      <w:r w:rsidR="00322DF8">
        <w:rPr>
          <w:sz w:val="24"/>
          <w:szCs w:val="24"/>
        </w:rPr>
        <w:t>Walmart</w:t>
      </w:r>
      <w:r w:rsidR="00C1364E">
        <w:rPr>
          <w:sz w:val="24"/>
          <w:szCs w:val="24"/>
        </w:rPr>
        <w:t xml:space="preserve"> needs to utilize it in ensuring customer satisfaction. </w:t>
      </w:r>
    </w:p>
    <w:p w:rsidR="00322DF8" w:rsidRDefault="00FA775A" w:rsidP="00B54F61">
      <w:pPr>
        <w:spacing w:after="0" w:line="480" w:lineRule="auto"/>
        <w:ind w:firstLine="720"/>
        <w:rPr>
          <w:sz w:val="24"/>
          <w:szCs w:val="24"/>
        </w:rPr>
      </w:pPr>
      <w:r>
        <w:rPr>
          <w:sz w:val="24"/>
          <w:szCs w:val="24"/>
        </w:rPr>
        <w:t xml:space="preserve">Walmart stores were established many years ago and have not closed their doors to date. Rather they have increased and </w:t>
      </w:r>
      <w:r w:rsidR="00651A85">
        <w:rPr>
          <w:sz w:val="24"/>
          <w:szCs w:val="24"/>
        </w:rPr>
        <w:t>opened</w:t>
      </w:r>
      <w:r>
        <w:rPr>
          <w:sz w:val="24"/>
          <w:szCs w:val="24"/>
        </w:rPr>
        <w:t xml:space="preserve"> their stores to meet more customers and deliver to them</w:t>
      </w:r>
      <w:r w:rsidR="00B029F4" w:rsidRPr="00B029F4">
        <w:rPr>
          <w:rFonts w:cs="Arial"/>
          <w:color w:val="222222"/>
          <w:sz w:val="24"/>
          <w:szCs w:val="24"/>
          <w:shd w:val="clear" w:color="auto" w:fill="FFFFFF"/>
        </w:rPr>
        <w:t xml:space="preserve"> </w:t>
      </w:r>
      <w:r w:rsidR="00B029F4">
        <w:rPr>
          <w:rFonts w:cs="Arial"/>
          <w:color w:val="222222"/>
          <w:sz w:val="24"/>
          <w:szCs w:val="24"/>
          <w:shd w:val="clear" w:color="auto" w:fill="FFFFFF"/>
        </w:rPr>
        <w:t>(</w:t>
      </w:r>
      <w:proofErr w:type="spellStart"/>
      <w:r w:rsidR="00B029F4">
        <w:rPr>
          <w:rFonts w:cs="Arial"/>
          <w:color w:val="222222"/>
          <w:sz w:val="24"/>
          <w:szCs w:val="24"/>
          <w:shd w:val="clear" w:color="auto" w:fill="FFFFFF"/>
        </w:rPr>
        <w:t>Xinyang</w:t>
      </w:r>
      <w:proofErr w:type="spellEnd"/>
      <w:r w:rsidR="00B029F4">
        <w:rPr>
          <w:rFonts w:cs="Arial"/>
          <w:color w:val="222222"/>
          <w:sz w:val="24"/>
          <w:szCs w:val="24"/>
          <w:shd w:val="clear" w:color="auto" w:fill="FFFFFF"/>
        </w:rPr>
        <w:t xml:space="preserve"> 2019)</w:t>
      </w:r>
      <w:r>
        <w:rPr>
          <w:sz w:val="24"/>
          <w:szCs w:val="24"/>
        </w:rPr>
        <w:t xml:space="preserve">. For this reason, the reliability of this store can be considered a strength compared to its competitors. </w:t>
      </w:r>
      <w:r w:rsidR="00651A85">
        <w:rPr>
          <w:sz w:val="24"/>
          <w:szCs w:val="24"/>
        </w:rPr>
        <w:t xml:space="preserve">When companies open and close, they lose their company loyalty </w:t>
      </w:r>
      <w:r w:rsidR="00436192">
        <w:rPr>
          <w:sz w:val="24"/>
          <w:szCs w:val="24"/>
        </w:rPr>
        <w:t xml:space="preserve">and hence decline in customers over time. For </w:t>
      </w:r>
      <w:r w:rsidR="009E161B">
        <w:rPr>
          <w:sz w:val="24"/>
          <w:szCs w:val="24"/>
        </w:rPr>
        <w:t>Walmart</w:t>
      </w:r>
      <w:r w:rsidR="00436192">
        <w:rPr>
          <w:sz w:val="24"/>
          <w:szCs w:val="24"/>
        </w:rPr>
        <w:t xml:space="preserve"> stores, their ability to open throughout gives them an added adv</w:t>
      </w:r>
      <w:r w:rsidR="00C15E63">
        <w:rPr>
          <w:sz w:val="24"/>
          <w:szCs w:val="24"/>
        </w:rPr>
        <w:t>antage over their competitors an</w:t>
      </w:r>
      <w:r w:rsidR="00436192">
        <w:rPr>
          <w:sz w:val="24"/>
          <w:szCs w:val="24"/>
        </w:rPr>
        <w:t xml:space="preserve">d can thrive during hard times. </w:t>
      </w:r>
    </w:p>
    <w:p w:rsidR="00C15E63" w:rsidRDefault="00FA775A" w:rsidP="00B54F61">
      <w:pPr>
        <w:spacing w:after="0" w:line="480" w:lineRule="auto"/>
        <w:ind w:firstLine="720"/>
        <w:rPr>
          <w:sz w:val="24"/>
          <w:szCs w:val="24"/>
        </w:rPr>
      </w:pPr>
      <w:r>
        <w:rPr>
          <w:sz w:val="24"/>
          <w:szCs w:val="24"/>
        </w:rPr>
        <w:lastRenderedPageBreak/>
        <w:t xml:space="preserve">Analyzing strengths and weaknesses can help </w:t>
      </w:r>
      <w:r w:rsidR="001E37A6">
        <w:rPr>
          <w:sz w:val="24"/>
          <w:szCs w:val="24"/>
        </w:rPr>
        <w:t>Walmart</w:t>
      </w:r>
      <w:r>
        <w:rPr>
          <w:sz w:val="24"/>
          <w:szCs w:val="24"/>
        </w:rPr>
        <w:t xml:space="preserve"> stores handle competitors </w:t>
      </w:r>
      <w:r w:rsidR="001E37A6">
        <w:rPr>
          <w:sz w:val="24"/>
          <w:szCs w:val="24"/>
        </w:rPr>
        <w:t>in case</w:t>
      </w:r>
      <w:r>
        <w:rPr>
          <w:sz w:val="24"/>
          <w:szCs w:val="24"/>
        </w:rPr>
        <w:t xml:space="preserve"> they open a new region store. For this reason</w:t>
      </w:r>
      <w:r w:rsidR="001E37A6">
        <w:rPr>
          <w:sz w:val="24"/>
          <w:szCs w:val="24"/>
        </w:rPr>
        <w:t xml:space="preserve">, Walmart needs to work and improve </w:t>
      </w:r>
      <w:r>
        <w:rPr>
          <w:sz w:val="24"/>
          <w:szCs w:val="24"/>
        </w:rPr>
        <w:t xml:space="preserve">on </w:t>
      </w:r>
      <w:r w:rsidR="001E37A6">
        <w:rPr>
          <w:sz w:val="24"/>
          <w:szCs w:val="24"/>
        </w:rPr>
        <w:t xml:space="preserve">its </w:t>
      </w:r>
      <w:r>
        <w:rPr>
          <w:sz w:val="24"/>
          <w:szCs w:val="24"/>
        </w:rPr>
        <w:t xml:space="preserve">weakness and build on its strengths. Moving and opening a new location would require this store to </w:t>
      </w:r>
      <w:r w:rsidR="003E6BA7">
        <w:rPr>
          <w:sz w:val="24"/>
          <w:szCs w:val="24"/>
        </w:rPr>
        <w:t>understand this new region</w:t>
      </w:r>
      <w:r w:rsidR="00E641BD" w:rsidRPr="00E641BD">
        <w:rPr>
          <w:rFonts w:cs="Arial"/>
          <w:color w:val="222222"/>
          <w:sz w:val="24"/>
          <w:szCs w:val="24"/>
          <w:shd w:val="clear" w:color="auto" w:fill="FFFFFF"/>
        </w:rPr>
        <w:t xml:space="preserve"> </w:t>
      </w:r>
      <w:r w:rsidR="00E641BD">
        <w:rPr>
          <w:rFonts w:cs="Arial"/>
          <w:color w:val="222222"/>
          <w:sz w:val="24"/>
          <w:szCs w:val="24"/>
          <w:shd w:val="clear" w:color="auto" w:fill="FFFFFF"/>
        </w:rPr>
        <w:t>(</w:t>
      </w:r>
      <w:proofErr w:type="spellStart"/>
      <w:r w:rsidR="00E641BD">
        <w:rPr>
          <w:rFonts w:cs="Arial"/>
          <w:color w:val="222222"/>
          <w:sz w:val="24"/>
          <w:szCs w:val="24"/>
          <w:shd w:val="clear" w:color="auto" w:fill="FFFFFF"/>
        </w:rPr>
        <w:t>Martínez</w:t>
      </w:r>
      <w:proofErr w:type="spellEnd"/>
      <w:r w:rsidR="00E641BD">
        <w:rPr>
          <w:rFonts w:cs="Arial"/>
          <w:color w:val="222222"/>
          <w:sz w:val="24"/>
          <w:szCs w:val="24"/>
          <w:shd w:val="clear" w:color="auto" w:fill="FFFFFF"/>
        </w:rPr>
        <w:t xml:space="preserve">, </w:t>
      </w:r>
      <w:proofErr w:type="spellStart"/>
      <w:r w:rsidR="00E641BD" w:rsidRPr="00850247">
        <w:rPr>
          <w:rFonts w:cs="Arial"/>
          <w:color w:val="222222"/>
          <w:sz w:val="24"/>
          <w:szCs w:val="24"/>
          <w:shd w:val="clear" w:color="auto" w:fill="FFFFFF"/>
        </w:rPr>
        <w:t>G</w:t>
      </w:r>
      <w:r w:rsidR="00E641BD">
        <w:rPr>
          <w:rFonts w:cs="Arial"/>
          <w:color w:val="222222"/>
          <w:sz w:val="24"/>
          <w:szCs w:val="24"/>
          <w:shd w:val="clear" w:color="auto" w:fill="FFFFFF"/>
        </w:rPr>
        <w:t>alván</w:t>
      </w:r>
      <w:proofErr w:type="spellEnd"/>
      <w:r w:rsidR="00E641BD">
        <w:rPr>
          <w:rFonts w:cs="Arial"/>
          <w:color w:val="222222"/>
          <w:sz w:val="24"/>
          <w:szCs w:val="24"/>
          <w:shd w:val="clear" w:color="auto" w:fill="FFFFFF"/>
        </w:rPr>
        <w:t xml:space="preserve">, and </w:t>
      </w:r>
      <w:proofErr w:type="spellStart"/>
      <w:r w:rsidR="00E641BD">
        <w:rPr>
          <w:rFonts w:cs="Arial"/>
          <w:color w:val="222222"/>
          <w:sz w:val="24"/>
          <w:szCs w:val="24"/>
          <w:shd w:val="clear" w:color="auto" w:fill="FFFFFF"/>
        </w:rPr>
        <w:t>Alam</w:t>
      </w:r>
      <w:proofErr w:type="spellEnd"/>
      <w:r w:rsidR="00E641BD">
        <w:rPr>
          <w:rFonts w:cs="Arial"/>
          <w:color w:val="222222"/>
          <w:sz w:val="24"/>
          <w:szCs w:val="24"/>
          <w:shd w:val="clear" w:color="auto" w:fill="FFFFFF"/>
        </w:rPr>
        <w:t>, 2017)</w:t>
      </w:r>
      <w:r w:rsidR="003E6BA7">
        <w:rPr>
          <w:sz w:val="24"/>
          <w:szCs w:val="24"/>
        </w:rPr>
        <w:t xml:space="preserve">. For a long time, </w:t>
      </w:r>
      <w:r w:rsidR="007C6B1E">
        <w:rPr>
          <w:sz w:val="24"/>
          <w:szCs w:val="24"/>
        </w:rPr>
        <w:t>Walmart</w:t>
      </w:r>
      <w:r w:rsidR="003E6BA7">
        <w:rPr>
          <w:sz w:val="24"/>
          <w:szCs w:val="24"/>
        </w:rPr>
        <w:t xml:space="preserve"> has bee</w:t>
      </w:r>
      <w:r w:rsidR="007C6B1E">
        <w:rPr>
          <w:sz w:val="24"/>
          <w:szCs w:val="24"/>
        </w:rPr>
        <w:t>n</w:t>
      </w:r>
      <w:r w:rsidR="003E6BA7">
        <w:rPr>
          <w:sz w:val="24"/>
          <w:szCs w:val="24"/>
        </w:rPr>
        <w:t xml:space="preserve"> accused of poor employee </w:t>
      </w:r>
      <w:r w:rsidR="007C6B1E">
        <w:rPr>
          <w:sz w:val="24"/>
          <w:szCs w:val="24"/>
        </w:rPr>
        <w:t>treatment</w:t>
      </w:r>
      <w:r w:rsidR="003E6BA7">
        <w:rPr>
          <w:sz w:val="24"/>
          <w:szCs w:val="24"/>
        </w:rPr>
        <w:t xml:space="preserve">. This is a major weakness associated with this store. For this </w:t>
      </w:r>
      <w:r w:rsidR="007C6B1E">
        <w:rPr>
          <w:sz w:val="24"/>
          <w:szCs w:val="24"/>
        </w:rPr>
        <w:t>reason</w:t>
      </w:r>
      <w:r w:rsidR="003E6BA7">
        <w:rPr>
          <w:sz w:val="24"/>
          <w:szCs w:val="24"/>
        </w:rPr>
        <w:t xml:space="preserve">, they must work on this </w:t>
      </w:r>
      <w:r w:rsidR="007C6B1E">
        <w:rPr>
          <w:sz w:val="24"/>
          <w:szCs w:val="24"/>
        </w:rPr>
        <w:t>weakness</w:t>
      </w:r>
      <w:r w:rsidR="003E6BA7">
        <w:rPr>
          <w:sz w:val="24"/>
          <w:szCs w:val="24"/>
        </w:rPr>
        <w:t xml:space="preserve"> before opening a new store in </w:t>
      </w:r>
      <w:r w:rsidR="007C6B1E">
        <w:rPr>
          <w:sz w:val="24"/>
          <w:szCs w:val="24"/>
        </w:rPr>
        <w:t>Cairo</w:t>
      </w:r>
      <w:r w:rsidR="003E6BA7">
        <w:rPr>
          <w:sz w:val="24"/>
          <w:szCs w:val="24"/>
        </w:rPr>
        <w:t xml:space="preserve">. </w:t>
      </w:r>
    </w:p>
    <w:p w:rsidR="00C15E63" w:rsidRDefault="00FA775A" w:rsidP="00B54F61">
      <w:pPr>
        <w:spacing w:after="0" w:line="480" w:lineRule="auto"/>
        <w:ind w:firstLine="720"/>
        <w:rPr>
          <w:sz w:val="24"/>
          <w:szCs w:val="24"/>
        </w:rPr>
      </w:pPr>
      <w:r>
        <w:rPr>
          <w:sz w:val="24"/>
          <w:szCs w:val="24"/>
        </w:rPr>
        <w:t xml:space="preserve">Being an old company, </w:t>
      </w:r>
      <w:r w:rsidR="00F4753C">
        <w:rPr>
          <w:sz w:val="24"/>
          <w:szCs w:val="24"/>
        </w:rPr>
        <w:t>Walmart</w:t>
      </w:r>
      <w:r>
        <w:rPr>
          <w:sz w:val="24"/>
          <w:szCs w:val="24"/>
        </w:rPr>
        <w:t xml:space="preserve"> company lacks new and unique ways of doing and operating their business. For this reason, competitors can easily imitate their business model and take over the market. This </w:t>
      </w:r>
      <w:r w:rsidR="00F4753C">
        <w:rPr>
          <w:sz w:val="24"/>
          <w:szCs w:val="24"/>
        </w:rPr>
        <w:t>weakness</w:t>
      </w:r>
      <w:r>
        <w:rPr>
          <w:sz w:val="24"/>
          <w:szCs w:val="24"/>
        </w:rPr>
        <w:t xml:space="preserve"> should caution the store owners to be innovative in their operating </w:t>
      </w:r>
      <w:r w:rsidR="00F4753C">
        <w:rPr>
          <w:sz w:val="24"/>
          <w:szCs w:val="24"/>
        </w:rPr>
        <w:t>business</w:t>
      </w:r>
      <w:r>
        <w:rPr>
          <w:sz w:val="24"/>
          <w:szCs w:val="24"/>
        </w:rPr>
        <w:t xml:space="preserve"> and help ensure their business grows. </w:t>
      </w:r>
      <w:r w:rsidR="00F4753C">
        <w:rPr>
          <w:sz w:val="24"/>
          <w:szCs w:val="24"/>
        </w:rPr>
        <w:t>Moving to the global market and new regions require</w:t>
      </w:r>
      <w:r w:rsidR="00700F2E">
        <w:rPr>
          <w:sz w:val="24"/>
          <w:szCs w:val="24"/>
        </w:rPr>
        <w:t xml:space="preserve">s careful of the competitors as they can lead to business failure. </w:t>
      </w:r>
      <w:r w:rsidR="00125F78">
        <w:rPr>
          <w:sz w:val="24"/>
          <w:szCs w:val="24"/>
        </w:rPr>
        <w:t xml:space="preserve">Opening in </w:t>
      </w:r>
      <w:r w:rsidR="007D5A01">
        <w:rPr>
          <w:sz w:val="24"/>
          <w:szCs w:val="24"/>
        </w:rPr>
        <w:t>Cairo</w:t>
      </w:r>
      <w:r w:rsidR="00125F78">
        <w:rPr>
          <w:sz w:val="24"/>
          <w:szCs w:val="24"/>
        </w:rPr>
        <w:t xml:space="preserve"> as an international region will require more caution in terms of handling this weakness. </w:t>
      </w:r>
    </w:p>
    <w:p w:rsidR="007D5A01" w:rsidRDefault="00FA775A" w:rsidP="00B54F61">
      <w:pPr>
        <w:spacing w:after="0" w:line="480" w:lineRule="auto"/>
        <w:ind w:firstLine="720"/>
        <w:rPr>
          <w:sz w:val="24"/>
          <w:szCs w:val="24"/>
        </w:rPr>
      </w:pPr>
      <w:r>
        <w:rPr>
          <w:sz w:val="24"/>
          <w:szCs w:val="24"/>
        </w:rPr>
        <w:t xml:space="preserve">Another </w:t>
      </w:r>
      <w:r w:rsidR="00A23A8B">
        <w:rPr>
          <w:sz w:val="24"/>
          <w:szCs w:val="24"/>
        </w:rPr>
        <w:t>major weakness, as se</w:t>
      </w:r>
      <w:r>
        <w:rPr>
          <w:sz w:val="24"/>
          <w:szCs w:val="24"/>
        </w:rPr>
        <w:t xml:space="preserve">en in the </w:t>
      </w:r>
      <w:r w:rsidR="00A23A8B">
        <w:rPr>
          <w:sz w:val="24"/>
          <w:szCs w:val="24"/>
        </w:rPr>
        <w:t>Walmart</w:t>
      </w:r>
      <w:r>
        <w:rPr>
          <w:sz w:val="24"/>
          <w:szCs w:val="24"/>
        </w:rPr>
        <w:t xml:space="preserve"> stores, is, they mainly focus on leadership. </w:t>
      </w:r>
      <w:r w:rsidR="00023648">
        <w:rPr>
          <w:sz w:val="24"/>
          <w:szCs w:val="24"/>
        </w:rPr>
        <w:t xml:space="preserve">Focusing on leadership rather than customers and employees can be a major weakness for any company. This can easily lead to the failure of the business. Walmart has to ensure that </w:t>
      </w:r>
      <w:r w:rsidR="00542D34">
        <w:rPr>
          <w:sz w:val="24"/>
          <w:szCs w:val="24"/>
        </w:rPr>
        <w:t xml:space="preserve">they work on this weakness, making it easy to win more customers in the new location. </w:t>
      </w:r>
      <w:r w:rsidR="00B03A34">
        <w:rPr>
          <w:sz w:val="24"/>
          <w:szCs w:val="24"/>
        </w:rPr>
        <w:t xml:space="preserve">The competitors will always focus on the company's weakness and making sure it does not succeed. Hence in any new location opening, </w:t>
      </w:r>
      <w:r w:rsidR="009B06DE">
        <w:rPr>
          <w:sz w:val="24"/>
          <w:szCs w:val="24"/>
        </w:rPr>
        <w:t>Walmart</w:t>
      </w:r>
      <w:r w:rsidR="00B03A34">
        <w:rPr>
          <w:sz w:val="24"/>
          <w:szCs w:val="24"/>
        </w:rPr>
        <w:t xml:space="preserve"> has first to build its strength. </w:t>
      </w:r>
    </w:p>
    <w:p w:rsidR="00282277" w:rsidRDefault="00FA775A" w:rsidP="00B54F61">
      <w:pPr>
        <w:spacing w:after="0" w:line="480" w:lineRule="auto"/>
        <w:ind w:firstLine="720"/>
        <w:rPr>
          <w:sz w:val="24"/>
          <w:szCs w:val="24"/>
        </w:rPr>
      </w:pPr>
      <w:r>
        <w:rPr>
          <w:sz w:val="24"/>
          <w:szCs w:val="24"/>
        </w:rPr>
        <w:t xml:space="preserve">Conducting a SWOT analysis for the </w:t>
      </w:r>
      <w:r w:rsidR="00E7341A">
        <w:rPr>
          <w:sz w:val="24"/>
          <w:szCs w:val="24"/>
        </w:rPr>
        <w:t>Walmart</w:t>
      </w:r>
      <w:r>
        <w:rPr>
          <w:sz w:val="24"/>
          <w:szCs w:val="24"/>
        </w:rPr>
        <w:t xml:space="preserve"> </w:t>
      </w:r>
      <w:r w:rsidR="00E7341A">
        <w:rPr>
          <w:sz w:val="24"/>
          <w:szCs w:val="24"/>
        </w:rPr>
        <w:t>Company</w:t>
      </w:r>
      <w:r>
        <w:rPr>
          <w:sz w:val="24"/>
          <w:szCs w:val="24"/>
        </w:rPr>
        <w:t xml:space="preserve"> will help establish its new store location in </w:t>
      </w:r>
      <w:r w:rsidR="00E7341A">
        <w:rPr>
          <w:sz w:val="24"/>
          <w:szCs w:val="24"/>
        </w:rPr>
        <w:t>Cairo</w:t>
      </w:r>
      <w:r>
        <w:rPr>
          <w:sz w:val="24"/>
          <w:szCs w:val="24"/>
        </w:rPr>
        <w:t xml:space="preserve">. Despite </w:t>
      </w:r>
      <w:r w:rsidR="00E7341A">
        <w:rPr>
          <w:sz w:val="24"/>
          <w:szCs w:val="24"/>
        </w:rPr>
        <w:t>Cairo</w:t>
      </w:r>
      <w:r>
        <w:rPr>
          <w:sz w:val="24"/>
          <w:szCs w:val="24"/>
        </w:rPr>
        <w:t xml:space="preserve"> having great potential as a developing country in Africa, it is important to consider the risk of attack from the existing competitors. For instance, one can </w:t>
      </w:r>
      <w:r>
        <w:rPr>
          <w:sz w:val="24"/>
          <w:szCs w:val="24"/>
        </w:rPr>
        <w:lastRenderedPageBreak/>
        <w:t xml:space="preserve">consider the competing advantage </w:t>
      </w:r>
      <w:r w:rsidR="00E7341A">
        <w:rPr>
          <w:sz w:val="24"/>
          <w:szCs w:val="24"/>
        </w:rPr>
        <w:t>Walmart</w:t>
      </w:r>
      <w:r>
        <w:rPr>
          <w:sz w:val="24"/>
          <w:szCs w:val="24"/>
        </w:rPr>
        <w:t xml:space="preserve"> would have over amazon. Since </w:t>
      </w:r>
      <w:r w:rsidR="00E7341A">
        <w:rPr>
          <w:sz w:val="24"/>
          <w:szCs w:val="24"/>
        </w:rPr>
        <w:t>Cairo</w:t>
      </w:r>
      <w:r>
        <w:rPr>
          <w:sz w:val="24"/>
          <w:szCs w:val="24"/>
        </w:rPr>
        <w:t xml:space="preserve"> is in a developing country, people may not have fully embraced the technological part of online shopping. Hence amazon might not be doing so well there, but a physical store like </w:t>
      </w:r>
      <w:r w:rsidR="00E7341A">
        <w:rPr>
          <w:sz w:val="24"/>
          <w:szCs w:val="24"/>
        </w:rPr>
        <w:t>Walmart</w:t>
      </w:r>
      <w:r>
        <w:rPr>
          <w:sz w:val="24"/>
          <w:szCs w:val="24"/>
        </w:rPr>
        <w:t xml:space="preserve"> will be preferred by Cairo's people </w:t>
      </w:r>
      <w:r w:rsidR="004E16EA">
        <w:rPr>
          <w:rFonts w:cs="Arial"/>
          <w:color w:val="222222"/>
          <w:sz w:val="24"/>
          <w:szCs w:val="24"/>
          <w:shd w:val="clear" w:color="auto" w:fill="FFFFFF"/>
        </w:rPr>
        <w:t xml:space="preserve">(Lim, et al., </w:t>
      </w:r>
      <w:r w:rsidR="004E16EA" w:rsidRPr="00850247">
        <w:rPr>
          <w:rFonts w:cs="Arial"/>
          <w:color w:val="222222"/>
          <w:sz w:val="24"/>
          <w:szCs w:val="24"/>
          <w:shd w:val="clear" w:color="auto" w:fill="FFFFFF"/>
        </w:rPr>
        <w:t>2019</w:t>
      </w:r>
      <w:r w:rsidR="004E16EA">
        <w:rPr>
          <w:rFonts w:cs="Arial"/>
          <w:color w:val="222222"/>
          <w:sz w:val="24"/>
          <w:szCs w:val="24"/>
          <w:shd w:val="clear" w:color="auto" w:fill="FFFFFF"/>
        </w:rPr>
        <w:t>)</w:t>
      </w:r>
      <w:r>
        <w:rPr>
          <w:sz w:val="24"/>
          <w:szCs w:val="24"/>
        </w:rPr>
        <w:t xml:space="preserve">. These factors </w:t>
      </w:r>
      <w:r w:rsidR="00E7341A">
        <w:rPr>
          <w:sz w:val="24"/>
          <w:szCs w:val="24"/>
        </w:rPr>
        <w:t xml:space="preserve">give the </w:t>
      </w:r>
      <w:r w:rsidR="004C31EE">
        <w:rPr>
          <w:sz w:val="24"/>
          <w:szCs w:val="24"/>
        </w:rPr>
        <w:t>Walmart</w:t>
      </w:r>
      <w:r w:rsidR="00E7341A">
        <w:rPr>
          <w:sz w:val="24"/>
          <w:szCs w:val="24"/>
        </w:rPr>
        <w:t xml:space="preserve"> </w:t>
      </w:r>
      <w:r w:rsidR="004C31EE">
        <w:rPr>
          <w:sz w:val="24"/>
          <w:szCs w:val="24"/>
        </w:rPr>
        <w:t>Company</w:t>
      </w:r>
      <w:r w:rsidR="00E7341A">
        <w:rPr>
          <w:sz w:val="24"/>
          <w:szCs w:val="24"/>
        </w:rPr>
        <w:t xml:space="preserve"> a competitive advantage over Amazon in this region, and only SWOT analysis can help figure out such issues. Market analysis will also be important at this level as the people's needs will be understood, and hence their demands met. </w:t>
      </w:r>
    </w:p>
    <w:p w:rsidR="004C31EE" w:rsidRDefault="00FA775A" w:rsidP="00B54F61">
      <w:pPr>
        <w:spacing w:after="0" w:line="480" w:lineRule="auto"/>
        <w:ind w:firstLine="720"/>
        <w:rPr>
          <w:sz w:val="24"/>
          <w:szCs w:val="24"/>
        </w:rPr>
      </w:pPr>
      <w:r>
        <w:rPr>
          <w:sz w:val="24"/>
          <w:szCs w:val="24"/>
        </w:rPr>
        <w:t xml:space="preserve">The available opportunities in this new location will be the fact that this country is still developing. For this reason, the low prices as offered by Walmart will help a lot to ensure that the poor get their basic needs. </w:t>
      </w:r>
      <w:r w:rsidR="004F5E58">
        <w:rPr>
          <w:sz w:val="24"/>
          <w:szCs w:val="24"/>
        </w:rPr>
        <w:t xml:space="preserve">As this strategy had worked well in the </w:t>
      </w:r>
      <w:r w:rsidR="00024027">
        <w:rPr>
          <w:sz w:val="24"/>
          <w:szCs w:val="24"/>
        </w:rPr>
        <w:t>United States</w:t>
      </w:r>
      <w:r w:rsidR="004F5E58">
        <w:rPr>
          <w:sz w:val="24"/>
          <w:szCs w:val="24"/>
        </w:rPr>
        <w:t xml:space="preserve">, we can note that improving the livelihood of people in a developing country would be an excellent step, and this will lead the store to be the most preferred store in the region and hence giving space for growth to more countries in the region. </w:t>
      </w:r>
    </w:p>
    <w:p w:rsidR="00024027" w:rsidRDefault="00FA775A" w:rsidP="00B54F61">
      <w:pPr>
        <w:spacing w:after="0" w:line="480" w:lineRule="auto"/>
        <w:ind w:firstLine="720"/>
        <w:rPr>
          <w:sz w:val="24"/>
          <w:szCs w:val="24"/>
        </w:rPr>
      </w:pPr>
      <w:r>
        <w:rPr>
          <w:sz w:val="24"/>
          <w:szCs w:val="24"/>
        </w:rPr>
        <w:t xml:space="preserve">In developing countries, poverty due to lack of employment is a major issue. </w:t>
      </w:r>
      <w:r w:rsidR="00137C11">
        <w:rPr>
          <w:sz w:val="24"/>
          <w:szCs w:val="24"/>
        </w:rPr>
        <w:t xml:space="preserve">This problem can give </w:t>
      </w:r>
      <w:r w:rsidR="009F7C2E">
        <w:rPr>
          <w:sz w:val="24"/>
          <w:szCs w:val="24"/>
        </w:rPr>
        <w:t>Walmart</w:t>
      </w:r>
      <w:r w:rsidR="00137C11">
        <w:rPr>
          <w:sz w:val="24"/>
          <w:szCs w:val="24"/>
        </w:rPr>
        <w:t xml:space="preserve"> stores a competitive advantage in </w:t>
      </w:r>
      <w:r w:rsidR="009F7C2E">
        <w:rPr>
          <w:sz w:val="24"/>
          <w:szCs w:val="24"/>
        </w:rPr>
        <w:t>Cairo</w:t>
      </w:r>
      <w:r w:rsidR="00137C11">
        <w:rPr>
          <w:sz w:val="24"/>
          <w:szCs w:val="24"/>
        </w:rPr>
        <w:t xml:space="preserve">. Being a physical store, it is expected to offer jobs, and the labor will be required to come from people within the region. Walmart is known to be an </w:t>
      </w:r>
      <w:r w:rsidR="009F7C2E">
        <w:rPr>
          <w:sz w:val="24"/>
          <w:szCs w:val="24"/>
        </w:rPr>
        <w:t>excellent</w:t>
      </w:r>
      <w:r w:rsidR="00137C11">
        <w:rPr>
          <w:sz w:val="24"/>
          <w:szCs w:val="24"/>
        </w:rPr>
        <w:t xml:space="preserve"> employer, and hence it will help in job creation </w:t>
      </w:r>
      <w:r w:rsidR="00093EB7">
        <w:rPr>
          <w:sz w:val="24"/>
          <w:szCs w:val="24"/>
        </w:rPr>
        <w:t xml:space="preserve">in this country. This will further give it a competitive advantage over its international competitors like Amazon. </w:t>
      </w:r>
      <w:r w:rsidR="003F4CC4">
        <w:rPr>
          <w:sz w:val="24"/>
          <w:szCs w:val="24"/>
        </w:rPr>
        <w:t xml:space="preserve">It is important, therefore, for the human resource to promote innovativeness in this department. This will help reduce the claims that </w:t>
      </w:r>
      <w:r w:rsidR="00B82E52">
        <w:rPr>
          <w:sz w:val="24"/>
          <w:szCs w:val="24"/>
        </w:rPr>
        <w:t>Walmart</w:t>
      </w:r>
      <w:r w:rsidR="003F4CC4">
        <w:rPr>
          <w:sz w:val="24"/>
          <w:szCs w:val="24"/>
        </w:rPr>
        <w:t xml:space="preserve"> </w:t>
      </w:r>
      <w:r w:rsidR="00E803B2">
        <w:rPr>
          <w:sz w:val="24"/>
          <w:szCs w:val="24"/>
        </w:rPr>
        <w:t xml:space="preserve">has the worst employee </w:t>
      </w:r>
      <w:r w:rsidR="00B82E52">
        <w:rPr>
          <w:sz w:val="24"/>
          <w:szCs w:val="24"/>
        </w:rPr>
        <w:t>treatment</w:t>
      </w:r>
      <w:r w:rsidR="00E803B2">
        <w:rPr>
          <w:sz w:val="24"/>
          <w:szCs w:val="24"/>
        </w:rPr>
        <w:t xml:space="preserve">. This new region can help clear the name of </w:t>
      </w:r>
      <w:r w:rsidR="00933BCC">
        <w:rPr>
          <w:sz w:val="24"/>
          <w:szCs w:val="24"/>
        </w:rPr>
        <w:t xml:space="preserve">the entire </w:t>
      </w:r>
      <w:r w:rsidR="00B82E52">
        <w:rPr>
          <w:sz w:val="24"/>
          <w:szCs w:val="24"/>
        </w:rPr>
        <w:t>Walmart</w:t>
      </w:r>
      <w:r w:rsidR="00933BCC">
        <w:rPr>
          <w:sz w:val="24"/>
          <w:szCs w:val="24"/>
        </w:rPr>
        <w:t xml:space="preserve"> store giving it a competitive advantage over its </w:t>
      </w:r>
      <w:r w:rsidR="00B82E52">
        <w:rPr>
          <w:sz w:val="24"/>
          <w:szCs w:val="24"/>
        </w:rPr>
        <w:t>competitors</w:t>
      </w:r>
      <w:r w:rsidR="00933BCC">
        <w:rPr>
          <w:sz w:val="24"/>
          <w:szCs w:val="24"/>
        </w:rPr>
        <w:t xml:space="preserve">. </w:t>
      </w:r>
    </w:p>
    <w:p w:rsidR="00B73A30" w:rsidRDefault="00FA775A" w:rsidP="00B54F61">
      <w:pPr>
        <w:spacing w:after="0" w:line="480" w:lineRule="auto"/>
        <w:ind w:firstLine="720"/>
        <w:rPr>
          <w:sz w:val="24"/>
          <w:szCs w:val="24"/>
        </w:rPr>
      </w:pPr>
      <w:r>
        <w:rPr>
          <w:sz w:val="24"/>
          <w:szCs w:val="24"/>
        </w:rPr>
        <w:lastRenderedPageBreak/>
        <w:t xml:space="preserve">High-quality product provision is a major competitive advantage Walmart stores have. Over the years, their provision of low price and the high-quality product has led to their fame and increased demand for their commodities. As a result of this, more satellite store locations were met to meet the increasing demand. This aspect gives the store a competitive advantage over companies like </w:t>
      </w:r>
      <w:r w:rsidR="0021333B">
        <w:rPr>
          <w:sz w:val="24"/>
          <w:szCs w:val="24"/>
        </w:rPr>
        <w:t>Amazon. Having</w:t>
      </w:r>
      <w:r>
        <w:rPr>
          <w:sz w:val="24"/>
          <w:szCs w:val="24"/>
        </w:rPr>
        <w:t xml:space="preserve"> a</w:t>
      </w:r>
      <w:r w:rsidR="0021333B">
        <w:rPr>
          <w:sz w:val="24"/>
          <w:szCs w:val="24"/>
        </w:rPr>
        <w:t xml:space="preserve"> physical location where o</w:t>
      </w:r>
      <w:r>
        <w:rPr>
          <w:sz w:val="24"/>
          <w:szCs w:val="24"/>
        </w:rPr>
        <w:t xml:space="preserve">ne can purchase a product after they physically evaluate it can be different from </w:t>
      </w:r>
      <w:r w:rsidR="00A67B1C">
        <w:rPr>
          <w:sz w:val="24"/>
          <w:szCs w:val="24"/>
        </w:rPr>
        <w:t xml:space="preserve">online purchasing and delivery. </w:t>
      </w:r>
      <w:r w:rsidR="002C38DC">
        <w:rPr>
          <w:sz w:val="24"/>
          <w:szCs w:val="24"/>
        </w:rPr>
        <w:t xml:space="preserve">Maintaining this aspect of providing quality products at low prices will help </w:t>
      </w:r>
      <w:r w:rsidR="008B3823">
        <w:rPr>
          <w:sz w:val="24"/>
          <w:szCs w:val="24"/>
        </w:rPr>
        <w:t>Walmart</w:t>
      </w:r>
      <w:r w:rsidR="002C38DC">
        <w:rPr>
          <w:sz w:val="24"/>
          <w:szCs w:val="24"/>
        </w:rPr>
        <w:t xml:space="preserve"> stores continue to expand in the new location in Africa and later spread to the </w:t>
      </w:r>
      <w:r w:rsidR="008B3823">
        <w:rPr>
          <w:sz w:val="24"/>
          <w:szCs w:val="24"/>
        </w:rPr>
        <w:t>neighboring</w:t>
      </w:r>
      <w:r w:rsidR="002C38DC">
        <w:rPr>
          <w:sz w:val="24"/>
          <w:szCs w:val="24"/>
        </w:rPr>
        <w:t xml:space="preserve"> countries in the region. </w:t>
      </w:r>
    </w:p>
    <w:p w:rsidR="00280125" w:rsidRDefault="00FA775A" w:rsidP="00B54F61">
      <w:pPr>
        <w:spacing w:after="0" w:line="480" w:lineRule="auto"/>
        <w:ind w:firstLine="720"/>
        <w:rPr>
          <w:sz w:val="24"/>
          <w:szCs w:val="24"/>
        </w:rPr>
      </w:pPr>
      <w:r>
        <w:rPr>
          <w:sz w:val="24"/>
          <w:szCs w:val="24"/>
        </w:rPr>
        <w:t xml:space="preserve">It is important to be </w:t>
      </w:r>
      <w:r w:rsidR="00D646AC">
        <w:rPr>
          <w:sz w:val="24"/>
          <w:szCs w:val="24"/>
        </w:rPr>
        <w:t>careful</w:t>
      </w:r>
      <w:r>
        <w:rPr>
          <w:sz w:val="24"/>
          <w:szCs w:val="24"/>
        </w:rPr>
        <w:t xml:space="preserve"> of the competitors as they look for the slightest mistake to take the company from the market. A threat </w:t>
      </w:r>
      <w:r w:rsidR="00D646AC">
        <w:rPr>
          <w:sz w:val="24"/>
          <w:szCs w:val="24"/>
        </w:rPr>
        <w:t>associated with Walmart</w:t>
      </w:r>
      <w:r>
        <w:rPr>
          <w:sz w:val="24"/>
          <w:szCs w:val="24"/>
        </w:rPr>
        <w:t xml:space="preserve"> occurred in 2017, and the </w:t>
      </w:r>
      <w:r w:rsidR="00D646AC">
        <w:rPr>
          <w:sz w:val="24"/>
          <w:szCs w:val="24"/>
        </w:rPr>
        <w:t>company</w:t>
      </w:r>
      <w:r>
        <w:rPr>
          <w:sz w:val="24"/>
          <w:szCs w:val="24"/>
        </w:rPr>
        <w:t xml:space="preserve"> was sued for selling fake alcohol. This, </w:t>
      </w:r>
      <w:r w:rsidR="00D646AC">
        <w:rPr>
          <w:sz w:val="24"/>
          <w:szCs w:val="24"/>
        </w:rPr>
        <w:t>as</w:t>
      </w:r>
      <w:r>
        <w:rPr>
          <w:sz w:val="24"/>
          <w:szCs w:val="24"/>
        </w:rPr>
        <w:t xml:space="preserve"> a result, made many of their buyers question the quality of the products they sold</w:t>
      </w:r>
      <w:r w:rsidR="001E40C9" w:rsidRPr="001E40C9">
        <w:rPr>
          <w:rFonts w:cs="Arial"/>
          <w:color w:val="222222"/>
          <w:sz w:val="24"/>
          <w:szCs w:val="24"/>
          <w:shd w:val="clear" w:color="auto" w:fill="FFFFFF"/>
        </w:rPr>
        <w:t xml:space="preserve"> </w:t>
      </w:r>
      <w:r w:rsidR="001E40C9">
        <w:rPr>
          <w:rFonts w:cs="Arial"/>
          <w:color w:val="222222"/>
          <w:sz w:val="24"/>
          <w:szCs w:val="24"/>
          <w:shd w:val="clear" w:color="auto" w:fill="FFFFFF"/>
        </w:rPr>
        <w:t>(</w:t>
      </w:r>
      <w:proofErr w:type="spellStart"/>
      <w:r w:rsidR="001E40C9">
        <w:rPr>
          <w:rFonts w:cs="Arial"/>
          <w:color w:val="222222"/>
          <w:sz w:val="24"/>
          <w:szCs w:val="24"/>
          <w:shd w:val="clear" w:color="auto" w:fill="FFFFFF"/>
        </w:rPr>
        <w:t>Colacicco</w:t>
      </w:r>
      <w:proofErr w:type="spellEnd"/>
      <w:r w:rsidR="001E40C9">
        <w:rPr>
          <w:rFonts w:cs="Arial"/>
          <w:color w:val="222222"/>
          <w:sz w:val="24"/>
          <w:szCs w:val="24"/>
          <w:shd w:val="clear" w:color="auto" w:fill="FFFFFF"/>
        </w:rPr>
        <w:t>, 2018)</w:t>
      </w:r>
      <w:r>
        <w:rPr>
          <w:sz w:val="24"/>
          <w:szCs w:val="24"/>
        </w:rPr>
        <w:t xml:space="preserve">. </w:t>
      </w:r>
      <w:r w:rsidR="00D646AC">
        <w:rPr>
          <w:sz w:val="24"/>
          <w:szCs w:val="24"/>
        </w:rPr>
        <w:t xml:space="preserve">Having </w:t>
      </w:r>
      <w:r w:rsidR="00623C04">
        <w:rPr>
          <w:sz w:val="24"/>
          <w:szCs w:val="24"/>
        </w:rPr>
        <w:t>fake products reduces the com</w:t>
      </w:r>
      <w:r w:rsidR="00D646AC">
        <w:rPr>
          <w:sz w:val="24"/>
          <w:szCs w:val="24"/>
        </w:rPr>
        <w:t>peti</w:t>
      </w:r>
      <w:r w:rsidR="00623C04">
        <w:rPr>
          <w:sz w:val="24"/>
          <w:szCs w:val="24"/>
        </w:rPr>
        <w:t>ti</w:t>
      </w:r>
      <w:r w:rsidR="00D646AC">
        <w:rPr>
          <w:sz w:val="24"/>
          <w:szCs w:val="24"/>
        </w:rPr>
        <w:t xml:space="preserve">ve advantage this store had over its </w:t>
      </w:r>
      <w:r w:rsidR="00623C04">
        <w:rPr>
          <w:sz w:val="24"/>
          <w:szCs w:val="24"/>
        </w:rPr>
        <w:t>competitors</w:t>
      </w:r>
      <w:r w:rsidR="00D646AC">
        <w:rPr>
          <w:sz w:val="24"/>
          <w:szCs w:val="24"/>
        </w:rPr>
        <w:t>; for this reason, it is essential to ensure that all goods and services offered are</w:t>
      </w:r>
      <w:r w:rsidR="00623C04">
        <w:rPr>
          <w:sz w:val="24"/>
          <w:szCs w:val="24"/>
        </w:rPr>
        <w:t xml:space="preserve"> </w:t>
      </w:r>
      <w:r w:rsidR="005B3712">
        <w:rPr>
          <w:sz w:val="24"/>
          <w:szCs w:val="24"/>
        </w:rPr>
        <w:t>legit</w:t>
      </w:r>
      <w:r w:rsidR="00623C04">
        <w:rPr>
          <w:sz w:val="24"/>
          <w:szCs w:val="24"/>
        </w:rPr>
        <w:t xml:space="preserve">. </w:t>
      </w:r>
    </w:p>
    <w:p w:rsidR="000600EF" w:rsidRDefault="002D17BE" w:rsidP="00B54F61">
      <w:pPr>
        <w:spacing w:after="0" w:line="480" w:lineRule="auto"/>
        <w:ind w:firstLine="720"/>
        <w:rPr>
          <w:sz w:val="24"/>
          <w:szCs w:val="24"/>
        </w:rPr>
      </w:pPr>
      <w:r>
        <w:rPr>
          <w:sz w:val="24"/>
          <w:szCs w:val="24"/>
        </w:rPr>
        <w:t>Walmart</w:t>
      </w:r>
      <w:r w:rsidR="00FA775A">
        <w:rPr>
          <w:sz w:val="24"/>
          <w:szCs w:val="24"/>
        </w:rPr>
        <w:t xml:space="preserve"> is a large company, and it will always face completion from the other international large companies. For instance, the Amazon </w:t>
      </w:r>
      <w:proofErr w:type="gramStart"/>
      <w:r w:rsidR="00FA775A">
        <w:rPr>
          <w:sz w:val="24"/>
          <w:szCs w:val="24"/>
        </w:rPr>
        <w:t>company</w:t>
      </w:r>
      <w:proofErr w:type="gramEnd"/>
      <w:r w:rsidR="00FA775A">
        <w:rPr>
          <w:sz w:val="24"/>
          <w:szCs w:val="24"/>
        </w:rPr>
        <w:t xml:space="preserve">. </w:t>
      </w:r>
      <w:r>
        <w:rPr>
          <w:sz w:val="24"/>
          <w:szCs w:val="24"/>
        </w:rPr>
        <w:t xml:space="preserve">For a reason, any threat and weakness that the company may have will always be </w:t>
      </w:r>
      <w:r w:rsidR="00FA5E33">
        <w:rPr>
          <w:sz w:val="24"/>
          <w:szCs w:val="24"/>
        </w:rPr>
        <w:t>used by</w:t>
      </w:r>
      <w:r>
        <w:rPr>
          <w:sz w:val="24"/>
          <w:szCs w:val="24"/>
        </w:rPr>
        <w:t xml:space="preserve"> the competitors against them. </w:t>
      </w:r>
      <w:r w:rsidR="003470E6">
        <w:rPr>
          <w:sz w:val="24"/>
          <w:szCs w:val="24"/>
        </w:rPr>
        <w:t xml:space="preserve">It is therefore essential to ensure that </w:t>
      </w:r>
      <w:r w:rsidR="00561D83">
        <w:rPr>
          <w:sz w:val="24"/>
          <w:szCs w:val="24"/>
        </w:rPr>
        <w:t xml:space="preserve">the strengths will always </w:t>
      </w:r>
      <w:r w:rsidR="001313FB">
        <w:rPr>
          <w:sz w:val="24"/>
          <w:szCs w:val="24"/>
        </w:rPr>
        <w:t>outweigh the weaknesses an</w:t>
      </w:r>
      <w:r w:rsidR="00561D83">
        <w:rPr>
          <w:sz w:val="24"/>
          <w:szCs w:val="24"/>
        </w:rPr>
        <w:t xml:space="preserve">d the threats. </w:t>
      </w:r>
      <w:r w:rsidR="001313FB">
        <w:rPr>
          <w:sz w:val="24"/>
          <w:szCs w:val="24"/>
        </w:rPr>
        <w:t xml:space="preserve">Amazon </w:t>
      </w:r>
      <w:r w:rsidR="007221F3">
        <w:rPr>
          <w:sz w:val="24"/>
          <w:szCs w:val="24"/>
        </w:rPr>
        <w:t xml:space="preserve">is </w:t>
      </w:r>
      <w:r w:rsidR="001313FB">
        <w:rPr>
          <w:sz w:val="24"/>
          <w:szCs w:val="24"/>
        </w:rPr>
        <w:t xml:space="preserve">an online retail company. Hence, due to the increasing technological advancement, it is getting embraced; for this reason, it may </w:t>
      </w:r>
      <w:r w:rsidR="003A059D">
        <w:rPr>
          <w:sz w:val="24"/>
          <w:szCs w:val="24"/>
        </w:rPr>
        <w:t xml:space="preserve">reduce </w:t>
      </w:r>
      <w:r w:rsidR="007221F3">
        <w:rPr>
          <w:sz w:val="24"/>
          <w:szCs w:val="24"/>
        </w:rPr>
        <w:t>Walmart</w:t>
      </w:r>
      <w:r w:rsidR="003A059D">
        <w:rPr>
          <w:sz w:val="24"/>
          <w:szCs w:val="24"/>
        </w:rPr>
        <w:t xml:space="preserve"> physical store </w:t>
      </w:r>
      <w:r w:rsidR="003A059D">
        <w:rPr>
          <w:sz w:val="24"/>
          <w:szCs w:val="24"/>
        </w:rPr>
        <w:lastRenderedPageBreak/>
        <w:t xml:space="preserve">customers. To help stop this, </w:t>
      </w:r>
      <w:r w:rsidR="007221F3">
        <w:rPr>
          <w:sz w:val="24"/>
          <w:szCs w:val="24"/>
        </w:rPr>
        <w:t>Walmart</w:t>
      </w:r>
      <w:r w:rsidR="003A059D">
        <w:rPr>
          <w:sz w:val="24"/>
          <w:szCs w:val="24"/>
        </w:rPr>
        <w:t xml:space="preserve"> can involve both an online store and </w:t>
      </w:r>
      <w:r w:rsidR="00516ABE">
        <w:rPr>
          <w:sz w:val="24"/>
          <w:szCs w:val="24"/>
        </w:rPr>
        <w:t xml:space="preserve">a physical store and capture buyers from both markets. </w:t>
      </w:r>
    </w:p>
    <w:p w:rsidR="008E4C4D" w:rsidRPr="00F34F67" w:rsidRDefault="00FA775A" w:rsidP="00F34F67">
      <w:pPr>
        <w:spacing w:after="0" w:line="480" w:lineRule="auto"/>
        <w:ind w:firstLine="720"/>
        <w:jc w:val="center"/>
        <w:rPr>
          <w:b/>
          <w:sz w:val="24"/>
          <w:szCs w:val="24"/>
        </w:rPr>
      </w:pPr>
      <w:r w:rsidRPr="00F34F67">
        <w:rPr>
          <w:b/>
          <w:sz w:val="24"/>
          <w:szCs w:val="24"/>
        </w:rPr>
        <w:t>Recommendation</w:t>
      </w:r>
    </w:p>
    <w:p w:rsidR="008E4C4D" w:rsidRDefault="00FA775A" w:rsidP="00B54F61">
      <w:pPr>
        <w:spacing w:after="0" w:line="480" w:lineRule="auto"/>
        <w:ind w:firstLine="720"/>
        <w:rPr>
          <w:sz w:val="24"/>
          <w:szCs w:val="24"/>
        </w:rPr>
      </w:pPr>
      <w:r>
        <w:rPr>
          <w:sz w:val="24"/>
          <w:szCs w:val="24"/>
        </w:rPr>
        <w:t xml:space="preserve">SWOT analysis and </w:t>
      </w:r>
      <w:r w:rsidR="00430A74">
        <w:rPr>
          <w:sz w:val="24"/>
          <w:szCs w:val="24"/>
        </w:rPr>
        <w:t xml:space="preserve">market analysis are the most important for any company seeking expansion in new regions. The strengths and </w:t>
      </w:r>
      <w:r w:rsidR="00131DC2">
        <w:rPr>
          <w:sz w:val="24"/>
          <w:szCs w:val="24"/>
        </w:rPr>
        <w:t>weaknesses</w:t>
      </w:r>
      <w:r w:rsidR="00430A74">
        <w:rPr>
          <w:sz w:val="24"/>
          <w:szCs w:val="24"/>
        </w:rPr>
        <w:t xml:space="preserve"> will help us understand if it can </w:t>
      </w:r>
      <w:r w:rsidR="00131DC2">
        <w:rPr>
          <w:sz w:val="24"/>
          <w:szCs w:val="24"/>
        </w:rPr>
        <w:t>withstand</w:t>
      </w:r>
      <w:r w:rsidR="00430A74">
        <w:rPr>
          <w:sz w:val="24"/>
          <w:szCs w:val="24"/>
        </w:rPr>
        <w:t xml:space="preserve"> the available market conditions and completion in the new market. </w:t>
      </w:r>
      <w:r w:rsidR="008059FF">
        <w:rPr>
          <w:sz w:val="24"/>
          <w:szCs w:val="24"/>
        </w:rPr>
        <w:t xml:space="preserve">The company's financial potential was exploring the new region should be motivated by the potential and increasing demand of the region. These are the main factors to be considered. Opening the door to an African region, for instance, can be an </w:t>
      </w:r>
      <w:r w:rsidR="009F4AFB">
        <w:rPr>
          <w:sz w:val="24"/>
          <w:szCs w:val="24"/>
        </w:rPr>
        <w:t>excellent</w:t>
      </w:r>
      <w:r w:rsidR="008059FF">
        <w:rPr>
          <w:sz w:val="24"/>
          <w:szCs w:val="24"/>
        </w:rPr>
        <w:t xml:space="preserve"> idea for this multinational company. </w:t>
      </w:r>
      <w:r w:rsidR="000457B1">
        <w:rPr>
          <w:sz w:val="24"/>
          <w:szCs w:val="24"/>
        </w:rPr>
        <w:t xml:space="preserve">The world's economic times should as well determine the marketing strategy to be used in different regions. For </w:t>
      </w:r>
      <w:r w:rsidR="0087156F">
        <w:rPr>
          <w:sz w:val="24"/>
          <w:szCs w:val="24"/>
        </w:rPr>
        <w:t>instanc</w:t>
      </w:r>
      <w:r w:rsidR="000457B1">
        <w:rPr>
          <w:sz w:val="24"/>
          <w:szCs w:val="24"/>
        </w:rPr>
        <w:t>e</w:t>
      </w:r>
      <w:r w:rsidR="0087156F">
        <w:rPr>
          <w:sz w:val="24"/>
          <w:szCs w:val="24"/>
        </w:rPr>
        <w:t>, Walmart</w:t>
      </w:r>
      <w:r w:rsidR="000457B1">
        <w:rPr>
          <w:sz w:val="24"/>
          <w:szCs w:val="24"/>
        </w:rPr>
        <w:t xml:space="preserve"> should consider have an online market for their commodities and would have helped especially in this covid-19 era. </w:t>
      </w:r>
    </w:p>
    <w:p w:rsidR="0087156F" w:rsidRPr="00F34F67" w:rsidRDefault="00FA775A" w:rsidP="00F34F67">
      <w:pPr>
        <w:spacing w:after="0" w:line="480" w:lineRule="auto"/>
        <w:ind w:firstLine="720"/>
        <w:jc w:val="center"/>
        <w:rPr>
          <w:b/>
          <w:sz w:val="24"/>
          <w:szCs w:val="24"/>
        </w:rPr>
      </w:pPr>
      <w:r w:rsidRPr="00F34F67">
        <w:rPr>
          <w:b/>
          <w:sz w:val="24"/>
          <w:szCs w:val="24"/>
        </w:rPr>
        <w:t>Conclusion</w:t>
      </w:r>
    </w:p>
    <w:p w:rsidR="002443E2" w:rsidRDefault="00FA775A" w:rsidP="008844DE">
      <w:pPr>
        <w:spacing w:after="0" w:line="480" w:lineRule="auto"/>
        <w:ind w:firstLine="720"/>
        <w:rPr>
          <w:sz w:val="24"/>
          <w:szCs w:val="24"/>
        </w:rPr>
      </w:pPr>
      <w:r>
        <w:rPr>
          <w:sz w:val="24"/>
          <w:szCs w:val="24"/>
        </w:rPr>
        <w:t>In conc</w:t>
      </w:r>
      <w:r w:rsidR="00161EF4">
        <w:rPr>
          <w:sz w:val="24"/>
          <w:szCs w:val="24"/>
        </w:rPr>
        <w:t>lusion, the opening of a store in</w:t>
      </w:r>
      <w:r>
        <w:rPr>
          <w:sz w:val="24"/>
          <w:szCs w:val="24"/>
        </w:rPr>
        <w:t xml:space="preserve"> a developing cou</w:t>
      </w:r>
      <w:r w:rsidR="00161EF4">
        <w:rPr>
          <w:sz w:val="24"/>
          <w:szCs w:val="24"/>
        </w:rPr>
        <w:t>n</w:t>
      </w:r>
      <w:r>
        <w:rPr>
          <w:sz w:val="24"/>
          <w:szCs w:val="24"/>
        </w:rPr>
        <w:t>try fro</w:t>
      </w:r>
      <w:r w:rsidR="00161EF4">
        <w:rPr>
          <w:sz w:val="24"/>
          <w:szCs w:val="24"/>
        </w:rPr>
        <w:t>m</w:t>
      </w:r>
      <w:r>
        <w:rPr>
          <w:sz w:val="24"/>
          <w:szCs w:val="24"/>
        </w:rPr>
        <w:t xml:space="preserve"> </w:t>
      </w:r>
      <w:r w:rsidR="00161EF4">
        <w:rPr>
          <w:sz w:val="24"/>
          <w:szCs w:val="24"/>
        </w:rPr>
        <w:t>Walmart</w:t>
      </w:r>
      <w:r>
        <w:rPr>
          <w:sz w:val="24"/>
          <w:szCs w:val="24"/>
        </w:rPr>
        <w:t xml:space="preserve"> is an excellent idea. This can make the tore expand in the region has it has in the United States' origin country. </w:t>
      </w:r>
      <w:r w:rsidR="002A6C52">
        <w:rPr>
          <w:sz w:val="24"/>
          <w:szCs w:val="24"/>
        </w:rPr>
        <w:t xml:space="preserve">And the fact that the stores favor the more majority it will therefore thrive in this African region. </w:t>
      </w:r>
      <w:r w:rsidR="00461969">
        <w:rPr>
          <w:sz w:val="24"/>
          <w:szCs w:val="24"/>
        </w:rPr>
        <w:t>The provision</w:t>
      </w:r>
      <w:r w:rsidR="00A47C84">
        <w:rPr>
          <w:sz w:val="24"/>
          <w:szCs w:val="24"/>
        </w:rPr>
        <w:t xml:space="preserve"> of low-cost quality products will help ensure the majority of poor people </w:t>
      </w:r>
      <w:r w:rsidR="00461969">
        <w:rPr>
          <w:sz w:val="24"/>
          <w:szCs w:val="24"/>
        </w:rPr>
        <w:t>afford their basic needs. Therefore the store becomes the most preferred store, and increasing demand leads to mor</w:t>
      </w:r>
      <w:r w:rsidR="008844DE">
        <w:rPr>
          <w:sz w:val="24"/>
          <w:szCs w:val="24"/>
        </w:rPr>
        <w:t>e stores across the region.</w:t>
      </w:r>
    </w:p>
    <w:p w:rsidR="00E30503" w:rsidRDefault="00E30503">
      <w:pPr>
        <w:rPr>
          <w:b/>
          <w:sz w:val="24"/>
          <w:szCs w:val="24"/>
        </w:rPr>
      </w:pPr>
      <w:r>
        <w:rPr>
          <w:b/>
          <w:sz w:val="24"/>
          <w:szCs w:val="24"/>
        </w:rPr>
        <w:br w:type="page"/>
      </w:r>
    </w:p>
    <w:p w:rsidR="00DE33C9" w:rsidRPr="00850247" w:rsidRDefault="00FA775A" w:rsidP="00850247">
      <w:pPr>
        <w:spacing w:after="0" w:line="480" w:lineRule="auto"/>
        <w:ind w:firstLine="720"/>
        <w:jc w:val="center"/>
        <w:rPr>
          <w:b/>
          <w:sz w:val="24"/>
          <w:szCs w:val="24"/>
        </w:rPr>
      </w:pPr>
      <w:r w:rsidRPr="00F34F67">
        <w:rPr>
          <w:b/>
          <w:sz w:val="24"/>
          <w:szCs w:val="24"/>
        </w:rPr>
        <w:lastRenderedPageBreak/>
        <w:t>References</w:t>
      </w:r>
    </w:p>
    <w:p w:rsidR="00850247" w:rsidRPr="00850247" w:rsidRDefault="00FA775A" w:rsidP="00850247">
      <w:pPr>
        <w:spacing w:after="0" w:line="480" w:lineRule="auto"/>
        <w:ind w:left="720" w:hanging="720"/>
        <w:rPr>
          <w:rFonts w:cs="Arial"/>
          <w:color w:val="222222"/>
          <w:sz w:val="24"/>
          <w:szCs w:val="24"/>
          <w:shd w:val="clear" w:color="auto" w:fill="FFFFFF"/>
        </w:rPr>
      </w:pPr>
      <w:r w:rsidRPr="00850247">
        <w:rPr>
          <w:rFonts w:cs="Arial"/>
          <w:color w:val="222222"/>
          <w:sz w:val="24"/>
          <w:szCs w:val="24"/>
          <w:shd w:val="clear" w:color="auto" w:fill="FFFFFF"/>
        </w:rPr>
        <w:t xml:space="preserve">Chang, Y., &amp; Hu, J. (2020). Analysis of the Mode of Multinational Retail Enterprises Entering Chinese Market—Take Walmart, Carrefour, and Metro as Examples. </w:t>
      </w:r>
      <w:r w:rsidRPr="00850247">
        <w:rPr>
          <w:rFonts w:cs="Arial"/>
          <w:i/>
          <w:iCs/>
          <w:color w:val="222222"/>
          <w:sz w:val="24"/>
          <w:szCs w:val="24"/>
          <w:shd w:val="clear" w:color="auto" w:fill="FFFFFF"/>
        </w:rPr>
        <w:t>Modern Economy</w:t>
      </w:r>
      <w:r w:rsidRPr="00850247">
        <w:rPr>
          <w:rFonts w:cs="Arial"/>
          <w:color w:val="222222"/>
          <w:sz w:val="24"/>
          <w:szCs w:val="24"/>
          <w:shd w:val="clear" w:color="auto" w:fill="FFFFFF"/>
        </w:rPr>
        <w:t xml:space="preserve">, </w:t>
      </w:r>
      <w:r w:rsidRPr="00850247">
        <w:rPr>
          <w:rFonts w:cs="Arial"/>
          <w:i/>
          <w:iCs/>
          <w:color w:val="222222"/>
          <w:sz w:val="24"/>
          <w:szCs w:val="24"/>
          <w:shd w:val="clear" w:color="auto" w:fill="FFFFFF"/>
        </w:rPr>
        <w:t>11</w:t>
      </w:r>
      <w:r w:rsidRPr="00850247">
        <w:rPr>
          <w:rFonts w:cs="Arial"/>
          <w:color w:val="222222"/>
          <w:sz w:val="24"/>
          <w:szCs w:val="24"/>
          <w:shd w:val="clear" w:color="auto" w:fill="FFFFFF"/>
        </w:rPr>
        <w:t>(01), 17.</w:t>
      </w:r>
    </w:p>
    <w:p w:rsidR="00850247" w:rsidRPr="00850247" w:rsidRDefault="00FA775A" w:rsidP="00850247">
      <w:pPr>
        <w:spacing w:after="0" w:line="480" w:lineRule="auto"/>
        <w:ind w:left="720" w:hanging="720"/>
        <w:rPr>
          <w:rFonts w:cs="Arial"/>
          <w:color w:val="222222"/>
          <w:sz w:val="24"/>
          <w:szCs w:val="24"/>
          <w:shd w:val="clear" w:color="auto" w:fill="FFFFFF"/>
        </w:rPr>
      </w:pPr>
      <w:proofErr w:type="spellStart"/>
      <w:r w:rsidRPr="00850247">
        <w:rPr>
          <w:rFonts w:cs="Arial"/>
          <w:color w:val="222222"/>
          <w:sz w:val="24"/>
          <w:szCs w:val="24"/>
          <w:shd w:val="clear" w:color="auto" w:fill="FFFFFF"/>
        </w:rPr>
        <w:t>Colacicco</w:t>
      </w:r>
      <w:proofErr w:type="spellEnd"/>
      <w:r w:rsidRPr="00850247">
        <w:rPr>
          <w:rFonts w:cs="Arial"/>
          <w:color w:val="222222"/>
          <w:sz w:val="24"/>
          <w:szCs w:val="24"/>
          <w:shd w:val="clear" w:color="auto" w:fill="FFFFFF"/>
        </w:rPr>
        <w:t>, G. (2018). Internationalization decisions in the retailing sector: Walmart in South Korea.</w:t>
      </w:r>
    </w:p>
    <w:p w:rsidR="00850247" w:rsidRPr="00850247" w:rsidRDefault="00FA775A" w:rsidP="00850247">
      <w:pPr>
        <w:spacing w:after="0" w:line="480" w:lineRule="auto"/>
        <w:ind w:left="720" w:hanging="720"/>
        <w:rPr>
          <w:rFonts w:cs="Arial"/>
          <w:color w:val="222222"/>
          <w:sz w:val="24"/>
          <w:szCs w:val="24"/>
          <w:shd w:val="clear" w:color="auto" w:fill="FFFFFF"/>
        </w:rPr>
      </w:pPr>
      <w:proofErr w:type="spellStart"/>
      <w:r w:rsidRPr="00850247">
        <w:rPr>
          <w:rFonts w:cs="Arial"/>
          <w:color w:val="222222"/>
          <w:sz w:val="24"/>
          <w:szCs w:val="24"/>
          <w:shd w:val="clear" w:color="auto" w:fill="FFFFFF"/>
        </w:rPr>
        <w:t>Courtemanche</w:t>
      </w:r>
      <w:proofErr w:type="spellEnd"/>
      <w:r w:rsidRPr="00850247">
        <w:rPr>
          <w:rFonts w:cs="Arial"/>
          <w:color w:val="222222"/>
          <w:sz w:val="24"/>
          <w:szCs w:val="24"/>
          <w:shd w:val="clear" w:color="auto" w:fill="FFFFFF"/>
        </w:rPr>
        <w:t xml:space="preserve">, C., </w:t>
      </w:r>
      <w:proofErr w:type="spellStart"/>
      <w:r w:rsidRPr="00850247">
        <w:rPr>
          <w:rFonts w:cs="Arial"/>
          <w:color w:val="222222"/>
          <w:sz w:val="24"/>
          <w:szCs w:val="24"/>
          <w:shd w:val="clear" w:color="auto" w:fill="FFFFFF"/>
        </w:rPr>
        <w:t>Carden</w:t>
      </w:r>
      <w:proofErr w:type="spellEnd"/>
      <w:r w:rsidRPr="00850247">
        <w:rPr>
          <w:rFonts w:cs="Arial"/>
          <w:color w:val="222222"/>
          <w:sz w:val="24"/>
          <w:szCs w:val="24"/>
          <w:shd w:val="clear" w:color="auto" w:fill="FFFFFF"/>
        </w:rPr>
        <w:t xml:space="preserve">, A., Zhou, X., &amp; </w:t>
      </w:r>
      <w:proofErr w:type="spellStart"/>
      <w:r w:rsidRPr="00850247">
        <w:rPr>
          <w:rFonts w:cs="Arial"/>
          <w:color w:val="222222"/>
          <w:sz w:val="24"/>
          <w:szCs w:val="24"/>
          <w:shd w:val="clear" w:color="auto" w:fill="FFFFFF"/>
        </w:rPr>
        <w:t>Ndirangu</w:t>
      </w:r>
      <w:proofErr w:type="spellEnd"/>
      <w:r w:rsidRPr="00850247">
        <w:rPr>
          <w:rFonts w:cs="Arial"/>
          <w:color w:val="222222"/>
          <w:sz w:val="24"/>
          <w:szCs w:val="24"/>
          <w:shd w:val="clear" w:color="auto" w:fill="FFFFFF"/>
        </w:rPr>
        <w:t>, M. (2019). Do Walmart supercenters improve food security</w:t>
      </w:r>
      <w:proofErr w:type="gramStart"/>
      <w:r w:rsidRPr="00850247">
        <w:rPr>
          <w:rFonts w:cs="Arial"/>
          <w:color w:val="222222"/>
          <w:sz w:val="24"/>
          <w:szCs w:val="24"/>
          <w:shd w:val="clear" w:color="auto" w:fill="FFFFFF"/>
        </w:rPr>
        <w:t>?.</w:t>
      </w:r>
      <w:proofErr w:type="gramEnd"/>
      <w:r w:rsidRPr="00850247">
        <w:rPr>
          <w:rFonts w:cs="Arial"/>
          <w:color w:val="222222"/>
          <w:sz w:val="24"/>
          <w:szCs w:val="24"/>
          <w:shd w:val="clear" w:color="auto" w:fill="FFFFFF"/>
        </w:rPr>
        <w:t xml:space="preserve"> </w:t>
      </w:r>
      <w:r w:rsidRPr="00850247">
        <w:rPr>
          <w:rFonts w:cs="Arial"/>
          <w:i/>
          <w:iCs/>
          <w:color w:val="222222"/>
          <w:sz w:val="24"/>
          <w:szCs w:val="24"/>
          <w:shd w:val="clear" w:color="auto" w:fill="FFFFFF"/>
        </w:rPr>
        <w:t>Applied Economic Perspectives and Policy</w:t>
      </w:r>
      <w:r w:rsidRPr="00850247">
        <w:rPr>
          <w:rFonts w:cs="Arial"/>
          <w:color w:val="222222"/>
          <w:sz w:val="24"/>
          <w:szCs w:val="24"/>
          <w:shd w:val="clear" w:color="auto" w:fill="FFFFFF"/>
        </w:rPr>
        <w:t xml:space="preserve">, </w:t>
      </w:r>
      <w:r w:rsidRPr="00850247">
        <w:rPr>
          <w:rFonts w:cs="Arial"/>
          <w:i/>
          <w:iCs/>
          <w:color w:val="222222"/>
          <w:sz w:val="24"/>
          <w:szCs w:val="24"/>
          <w:shd w:val="clear" w:color="auto" w:fill="FFFFFF"/>
        </w:rPr>
        <w:t>41</w:t>
      </w:r>
      <w:r w:rsidRPr="00850247">
        <w:rPr>
          <w:rFonts w:cs="Arial"/>
          <w:color w:val="222222"/>
          <w:sz w:val="24"/>
          <w:szCs w:val="24"/>
          <w:shd w:val="clear" w:color="auto" w:fill="FFFFFF"/>
        </w:rPr>
        <w:t>(2), 177-198.</w:t>
      </w:r>
    </w:p>
    <w:p w:rsidR="00850247" w:rsidRPr="00850247" w:rsidRDefault="00FA775A" w:rsidP="00850247">
      <w:pPr>
        <w:spacing w:after="0" w:line="480" w:lineRule="auto"/>
        <w:ind w:left="720" w:hanging="720"/>
        <w:rPr>
          <w:rFonts w:cs="Arial"/>
          <w:color w:val="222222"/>
          <w:sz w:val="24"/>
          <w:szCs w:val="24"/>
          <w:shd w:val="clear" w:color="auto" w:fill="FFFFFF"/>
        </w:rPr>
      </w:pPr>
      <w:proofErr w:type="spellStart"/>
      <w:r w:rsidRPr="00850247">
        <w:rPr>
          <w:rFonts w:cs="Arial"/>
          <w:color w:val="222222"/>
          <w:sz w:val="24"/>
          <w:szCs w:val="24"/>
          <w:shd w:val="clear" w:color="auto" w:fill="FFFFFF"/>
        </w:rPr>
        <w:t>Jeong</w:t>
      </w:r>
      <w:proofErr w:type="spellEnd"/>
      <w:r w:rsidRPr="00850247">
        <w:rPr>
          <w:rFonts w:cs="Arial"/>
          <w:color w:val="222222"/>
          <w:sz w:val="24"/>
          <w:szCs w:val="24"/>
          <w:shd w:val="clear" w:color="auto" w:fill="FFFFFF"/>
        </w:rPr>
        <w:t xml:space="preserve">, C. Y., Lee, S. Y. T., &amp; Lim, J. H. (2019). Information security breaches and IT security investments: Impacts on competitors. </w:t>
      </w:r>
      <w:r w:rsidRPr="00850247">
        <w:rPr>
          <w:rFonts w:cs="Arial"/>
          <w:i/>
          <w:iCs/>
          <w:color w:val="222222"/>
          <w:sz w:val="24"/>
          <w:szCs w:val="24"/>
          <w:shd w:val="clear" w:color="auto" w:fill="FFFFFF"/>
        </w:rPr>
        <w:t>Information &amp; Management</w:t>
      </w:r>
      <w:r w:rsidRPr="00850247">
        <w:rPr>
          <w:rFonts w:cs="Arial"/>
          <w:color w:val="222222"/>
          <w:sz w:val="24"/>
          <w:szCs w:val="24"/>
          <w:shd w:val="clear" w:color="auto" w:fill="FFFFFF"/>
        </w:rPr>
        <w:t xml:space="preserve">, </w:t>
      </w:r>
      <w:r w:rsidRPr="00850247">
        <w:rPr>
          <w:rFonts w:cs="Arial"/>
          <w:i/>
          <w:iCs/>
          <w:color w:val="222222"/>
          <w:sz w:val="24"/>
          <w:szCs w:val="24"/>
          <w:shd w:val="clear" w:color="auto" w:fill="FFFFFF"/>
        </w:rPr>
        <w:t>56</w:t>
      </w:r>
      <w:r w:rsidRPr="00850247">
        <w:rPr>
          <w:rFonts w:cs="Arial"/>
          <w:color w:val="222222"/>
          <w:sz w:val="24"/>
          <w:szCs w:val="24"/>
          <w:shd w:val="clear" w:color="auto" w:fill="FFFFFF"/>
        </w:rPr>
        <w:t>(5), 681-695.</w:t>
      </w:r>
    </w:p>
    <w:p w:rsidR="00850247" w:rsidRPr="00850247" w:rsidRDefault="00FA775A" w:rsidP="00850247">
      <w:pPr>
        <w:spacing w:after="0" w:line="480" w:lineRule="auto"/>
        <w:ind w:left="720" w:hanging="720"/>
        <w:rPr>
          <w:rFonts w:cs="Arial"/>
          <w:color w:val="222222"/>
          <w:sz w:val="24"/>
          <w:szCs w:val="24"/>
          <w:shd w:val="clear" w:color="auto" w:fill="FFFFFF"/>
        </w:rPr>
      </w:pPr>
      <w:proofErr w:type="spellStart"/>
      <w:r w:rsidRPr="00850247">
        <w:rPr>
          <w:rFonts w:cs="Arial"/>
          <w:color w:val="222222"/>
          <w:sz w:val="24"/>
          <w:szCs w:val="24"/>
          <w:shd w:val="clear" w:color="auto" w:fill="FFFFFF"/>
        </w:rPr>
        <w:t>LeCavalier</w:t>
      </w:r>
      <w:proofErr w:type="spellEnd"/>
      <w:r w:rsidRPr="00850247">
        <w:rPr>
          <w:rFonts w:cs="Arial"/>
          <w:color w:val="222222"/>
          <w:sz w:val="24"/>
          <w:szCs w:val="24"/>
          <w:shd w:val="clear" w:color="auto" w:fill="FFFFFF"/>
        </w:rPr>
        <w:t xml:space="preserve">, J. (2016). </w:t>
      </w:r>
      <w:r w:rsidRPr="00850247">
        <w:rPr>
          <w:rFonts w:cs="Arial"/>
          <w:i/>
          <w:iCs/>
          <w:color w:val="222222"/>
          <w:sz w:val="24"/>
          <w:szCs w:val="24"/>
          <w:shd w:val="clear" w:color="auto" w:fill="FFFFFF"/>
        </w:rPr>
        <w:t>The rule of logistics: Walmart and the architecture of fulfillment</w:t>
      </w:r>
      <w:r w:rsidRPr="00850247">
        <w:rPr>
          <w:rFonts w:cs="Arial"/>
          <w:color w:val="222222"/>
          <w:sz w:val="24"/>
          <w:szCs w:val="24"/>
          <w:shd w:val="clear" w:color="auto" w:fill="FFFFFF"/>
        </w:rPr>
        <w:t>. U of Minnesota Press.</w:t>
      </w:r>
    </w:p>
    <w:p w:rsidR="00850247" w:rsidRPr="00850247" w:rsidRDefault="00FA775A" w:rsidP="00850247">
      <w:pPr>
        <w:spacing w:after="0" w:line="480" w:lineRule="auto"/>
        <w:ind w:left="720" w:hanging="720"/>
        <w:rPr>
          <w:sz w:val="24"/>
          <w:szCs w:val="24"/>
        </w:rPr>
      </w:pPr>
      <w:proofErr w:type="spellStart"/>
      <w:r w:rsidRPr="00850247">
        <w:rPr>
          <w:rFonts w:cs="Arial"/>
          <w:color w:val="222222"/>
          <w:sz w:val="24"/>
          <w:szCs w:val="24"/>
          <w:shd w:val="clear" w:color="auto" w:fill="FFFFFF"/>
        </w:rPr>
        <w:t>Martínez</w:t>
      </w:r>
      <w:proofErr w:type="spellEnd"/>
      <w:r w:rsidRPr="00850247">
        <w:rPr>
          <w:rFonts w:cs="Arial"/>
          <w:color w:val="222222"/>
          <w:sz w:val="24"/>
          <w:szCs w:val="24"/>
          <w:shd w:val="clear" w:color="auto" w:fill="FFFFFF"/>
        </w:rPr>
        <w:t xml:space="preserve">, A. B., </w:t>
      </w:r>
      <w:proofErr w:type="spellStart"/>
      <w:r w:rsidRPr="00850247">
        <w:rPr>
          <w:rFonts w:cs="Arial"/>
          <w:color w:val="222222"/>
          <w:sz w:val="24"/>
          <w:szCs w:val="24"/>
          <w:shd w:val="clear" w:color="auto" w:fill="FFFFFF"/>
        </w:rPr>
        <w:t>Galván</w:t>
      </w:r>
      <w:proofErr w:type="spellEnd"/>
      <w:r w:rsidRPr="00850247">
        <w:rPr>
          <w:rFonts w:cs="Arial"/>
          <w:color w:val="222222"/>
          <w:sz w:val="24"/>
          <w:szCs w:val="24"/>
          <w:shd w:val="clear" w:color="auto" w:fill="FFFFFF"/>
        </w:rPr>
        <w:t xml:space="preserve">, R. S., &amp; </w:t>
      </w:r>
      <w:proofErr w:type="spellStart"/>
      <w:r w:rsidRPr="00850247">
        <w:rPr>
          <w:rFonts w:cs="Arial"/>
          <w:color w:val="222222"/>
          <w:sz w:val="24"/>
          <w:szCs w:val="24"/>
          <w:shd w:val="clear" w:color="auto" w:fill="FFFFFF"/>
        </w:rPr>
        <w:t>Alam</w:t>
      </w:r>
      <w:proofErr w:type="spellEnd"/>
      <w:r w:rsidRPr="00850247">
        <w:rPr>
          <w:rFonts w:cs="Arial"/>
          <w:color w:val="222222"/>
          <w:sz w:val="24"/>
          <w:szCs w:val="24"/>
          <w:shd w:val="clear" w:color="auto" w:fill="FFFFFF"/>
        </w:rPr>
        <w:t xml:space="preserve">, S. (2017). Financial Analysis of Retail Business Organization: A Case of Wal-Mart Stores, Inc. </w:t>
      </w:r>
      <w:r w:rsidRPr="00850247">
        <w:rPr>
          <w:rFonts w:cs="Arial"/>
          <w:i/>
          <w:iCs/>
          <w:color w:val="222222"/>
          <w:sz w:val="24"/>
          <w:szCs w:val="24"/>
          <w:shd w:val="clear" w:color="auto" w:fill="FFFFFF"/>
        </w:rPr>
        <w:t>Nile Journal of Business and Economics</w:t>
      </w:r>
      <w:r w:rsidRPr="00850247">
        <w:rPr>
          <w:rFonts w:cs="Arial"/>
          <w:color w:val="222222"/>
          <w:sz w:val="24"/>
          <w:szCs w:val="24"/>
          <w:shd w:val="clear" w:color="auto" w:fill="FFFFFF"/>
        </w:rPr>
        <w:t xml:space="preserve">, </w:t>
      </w:r>
      <w:r w:rsidRPr="00850247">
        <w:rPr>
          <w:rFonts w:cs="Arial"/>
          <w:i/>
          <w:iCs/>
          <w:color w:val="222222"/>
          <w:sz w:val="24"/>
          <w:szCs w:val="24"/>
          <w:shd w:val="clear" w:color="auto" w:fill="FFFFFF"/>
        </w:rPr>
        <w:t>3</w:t>
      </w:r>
      <w:r w:rsidRPr="00850247">
        <w:rPr>
          <w:rFonts w:cs="Arial"/>
          <w:color w:val="222222"/>
          <w:sz w:val="24"/>
          <w:szCs w:val="24"/>
          <w:shd w:val="clear" w:color="auto" w:fill="FFFFFF"/>
        </w:rPr>
        <w:t>(5), 67-89.</w:t>
      </w:r>
    </w:p>
    <w:p w:rsidR="00850247" w:rsidRPr="00850247" w:rsidRDefault="00FA775A" w:rsidP="00850247">
      <w:pPr>
        <w:spacing w:after="0" w:line="480" w:lineRule="auto"/>
        <w:ind w:left="720" w:hanging="720"/>
        <w:rPr>
          <w:rFonts w:cs="Arial"/>
          <w:color w:val="222222"/>
          <w:sz w:val="24"/>
          <w:szCs w:val="24"/>
          <w:shd w:val="clear" w:color="auto" w:fill="FFFFFF"/>
        </w:rPr>
      </w:pPr>
      <w:proofErr w:type="spellStart"/>
      <w:r w:rsidRPr="00850247">
        <w:rPr>
          <w:rFonts w:cs="Arial"/>
          <w:color w:val="222222"/>
          <w:sz w:val="24"/>
          <w:szCs w:val="24"/>
          <w:shd w:val="clear" w:color="auto" w:fill="FFFFFF"/>
        </w:rPr>
        <w:t>Pasquim</w:t>
      </w:r>
      <w:proofErr w:type="spellEnd"/>
      <w:r w:rsidRPr="00850247">
        <w:rPr>
          <w:rFonts w:cs="Arial"/>
          <w:color w:val="222222"/>
          <w:sz w:val="24"/>
          <w:szCs w:val="24"/>
          <w:shd w:val="clear" w:color="auto" w:fill="FFFFFF"/>
        </w:rPr>
        <w:t xml:space="preserve">, H., Oliveira, M., &amp; </w:t>
      </w:r>
      <w:proofErr w:type="spellStart"/>
      <w:r w:rsidRPr="00850247">
        <w:rPr>
          <w:rFonts w:cs="Arial"/>
          <w:color w:val="222222"/>
          <w:sz w:val="24"/>
          <w:szCs w:val="24"/>
          <w:shd w:val="clear" w:color="auto" w:fill="FFFFFF"/>
        </w:rPr>
        <w:t>Soares</w:t>
      </w:r>
      <w:proofErr w:type="spellEnd"/>
      <w:r w:rsidRPr="00850247">
        <w:rPr>
          <w:rFonts w:cs="Arial"/>
          <w:color w:val="222222"/>
          <w:sz w:val="24"/>
          <w:szCs w:val="24"/>
          <w:shd w:val="clear" w:color="auto" w:fill="FFFFFF"/>
        </w:rPr>
        <w:t xml:space="preserve">, C. B. (2020). Fake news on drugs: post-truth and misinformation. </w:t>
      </w:r>
      <w:proofErr w:type="spellStart"/>
      <w:r w:rsidRPr="00850247">
        <w:rPr>
          <w:rFonts w:cs="Arial"/>
          <w:i/>
          <w:iCs/>
          <w:color w:val="222222"/>
          <w:sz w:val="24"/>
          <w:szCs w:val="24"/>
          <w:shd w:val="clear" w:color="auto" w:fill="FFFFFF"/>
        </w:rPr>
        <w:t>Saúde</w:t>
      </w:r>
      <w:proofErr w:type="spellEnd"/>
      <w:r w:rsidRPr="00850247">
        <w:rPr>
          <w:rFonts w:cs="Arial"/>
          <w:i/>
          <w:iCs/>
          <w:color w:val="222222"/>
          <w:sz w:val="24"/>
          <w:szCs w:val="24"/>
          <w:shd w:val="clear" w:color="auto" w:fill="FFFFFF"/>
        </w:rPr>
        <w:t xml:space="preserve"> e </w:t>
      </w:r>
      <w:proofErr w:type="spellStart"/>
      <w:r w:rsidRPr="00850247">
        <w:rPr>
          <w:rFonts w:cs="Arial"/>
          <w:i/>
          <w:iCs/>
          <w:color w:val="222222"/>
          <w:sz w:val="24"/>
          <w:szCs w:val="24"/>
          <w:shd w:val="clear" w:color="auto" w:fill="FFFFFF"/>
        </w:rPr>
        <w:t>Sociedade</w:t>
      </w:r>
      <w:proofErr w:type="spellEnd"/>
      <w:r w:rsidRPr="00850247">
        <w:rPr>
          <w:rFonts w:cs="Arial"/>
          <w:color w:val="222222"/>
          <w:sz w:val="24"/>
          <w:szCs w:val="24"/>
          <w:shd w:val="clear" w:color="auto" w:fill="FFFFFF"/>
        </w:rPr>
        <w:t xml:space="preserve">, </w:t>
      </w:r>
      <w:r w:rsidRPr="00850247">
        <w:rPr>
          <w:rFonts w:cs="Arial"/>
          <w:i/>
          <w:iCs/>
          <w:color w:val="222222"/>
          <w:sz w:val="24"/>
          <w:szCs w:val="24"/>
          <w:shd w:val="clear" w:color="auto" w:fill="FFFFFF"/>
        </w:rPr>
        <w:t>29</w:t>
      </w:r>
      <w:r w:rsidRPr="00850247">
        <w:rPr>
          <w:rFonts w:cs="Arial"/>
          <w:color w:val="222222"/>
          <w:sz w:val="24"/>
          <w:szCs w:val="24"/>
          <w:shd w:val="clear" w:color="auto" w:fill="FFFFFF"/>
        </w:rPr>
        <w:t>, e190342.</w:t>
      </w:r>
    </w:p>
    <w:p w:rsidR="00850247" w:rsidRPr="00850247" w:rsidRDefault="00FA775A" w:rsidP="00850247">
      <w:pPr>
        <w:spacing w:after="0" w:line="480" w:lineRule="auto"/>
        <w:ind w:left="720" w:hanging="720"/>
        <w:rPr>
          <w:rFonts w:cs="Arial"/>
          <w:color w:val="222222"/>
          <w:sz w:val="24"/>
          <w:szCs w:val="24"/>
          <w:shd w:val="clear" w:color="auto" w:fill="FFFFFF"/>
        </w:rPr>
      </w:pPr>
      <w:proofErr w:type="spellStart"/>
      <w:r w:rsidRPr="00850247">
        <w:rPr>
          <w:rFonts w:cs="Arial"/>
          <w:color w:val="222222"/>
          <w:sz w:val="24"/>
          <w:szCs w:val="24"/>
          <w:shd w:val="clear" w:color="auto" w:fill="FFFFFF"/>
        </w:rPr>
        <w:t>Pingolia</w:t>
      </w:r>
      <w:proofErr w:type="spellEnd"/>
      <w:r w:rsidRPr="00850247">
        <w:rPr>
          <w:rFonts w:cs="Arial"/>
          <w:color w:val="222222"/>
          <w:sz w:val="24"/>
          <w:szCs w:val="24"/>
          <w:shd w:val="clear" w:color="auto" w:fill="FFFFFF"/>
        </w:rPr>
        <w:t xml:space="preserve">, S. (2020). Case Analysis of Walmart and </w:t>
      </w:r>
      <w:proofErr w:type="spellStart"/>
      <w:r w:rsidRPr="00850247">
        <w:rPr>
          <w:rFonts w:cs="Arial"/>
          <w:color w:val="222222"/>
          <w:sz w:val="24"/>
          <w:szCs w:val="24"/>
          <w:shd w:val="clear" w:color="auto" w:fill="FFFFFF"/>
        </w:rPr>
        <w:t>Flipkart</w:t>
      </w:r>
      <w:proofErr w:type="spellEnd"/>
      <w:r w:rsidRPr="00850247">
        <w:rPr>
          <w:rFonts w:cs="Arial"/>
          <w:color w:val="222222"/>
          <w:sz w:val="24"/>
          <w:szCs w:val="24"/>
          <w:shd w:val="clear" w:color="auto" w:fill="FFFFFF"/>
        </w:rPr>
        <w:t xml:space="preserve"> M&amp;A. </w:t>
      </w:r>
      <w:r w:rsidRPr="00850247">
        <w:rPr>
          <w:rFonts w:cs="Arial"/>
          <w:i/>
          <w:iCs/>
          <w:color w:val="222222"/>
          <w:sz w:val="24"/>
          <w:szCs w:val="24"/>
          <w:shd w:val="clear" w:color="auto" w:fill="FFFFFF"/>
        </w:rPr>
        <w:t>Available at SSRN 3701098</w:t>
      </w:r>
      <w:r w:rsidRPr="00850247">
        <w:rPr>
          <w:rFonts w:cs="Arial"/>
          <w:color w:val="222222"/>
          <w:sz w:val="24"/>
          <w:szCs w:val="24"/>
          <w:shd w:val="clear" w:color="auto" w:fill="FFFFFF"/>
        </w:rPr>
        <w:t>.</w:t>
      </w:r>
    </w:p>
    <w:p w:rsidR="00850247" w:rsidRPr="00850247" w:rsidRDefault="00FA775A" w:rsidP="00850247">
      <w:pPr>
        <w:spacing w:after="0" w:line="480" w:lineRule="auto"/>
        <w:ind w:left="720" w:hanging="720"/>
        <w:rPr>
          <w:sz w:val="24"/>
          <w:szCs w:val="24"/>
        </w:rPr>
      </w:pPr>
      <w:r w:rsidRPr="00850247">
        <w:rPr>
          <w:rFonts w:cs="Arial"/>
          <w:color w:val="222222"/>
          <w:sz w:val="24"/>
          <w:szCs w:val="24"/>
          <w:shd w:val="clear" w:color="auto" w:fill="FFFFFF"/>
        </w:rPr>
        <w:t xml:space="preserve">Tan, B., Yan, J., Chen, S., &amp; Liu, X. (2018, December). The impact of </w:t>
      </w:r>
      <w:proofErr w:type="spellStart"/>
      <w:r w:rsidRPr="00850247">
        <w:rPr>
          <w:rFonts w:cs="Arial"/>
          <w:color w:val="222222"/>
          <w:sz w:val="24"/>
          <w:szCs w:val="24"/>
          <w:shd w:val="clear" w:color="auto" w:fill="FFFFFF"/>
        </w:rPr>
        <w:t>blockchain</w:t>
      </w:r>
      <w:proofErr w:type="spellEnd"/>
      <w:r w:rsidRPr="00850247">
        <w:rPr>
          <w:rFonts w:cs="Arial"/>
          <w:color w:val="222222"/>
          <w:sz w:val="24"/>
          <w:szCs w:val="24"/>
          <w:shd w:val="clear" w:color="auto" w:fill="FFFFFF"/>
        </w:rPr>
        <w:t xml:space="preserve"> on food supply chain: the case of Walmart. In </w:t>
      </w:r>
      <w:r w:rsidRPr="00850247">
        <w:rPr>
          <w:rFonts w:cs="Arial"/>
          <w:i/>
          <w:iCs/>
          <w:color w:val="222222"/>
          <w:sz w:val="24"/>
          <w:szCs w:val="24"/>
          <w:shd w:val="clear" w:color="auto" w:fill="FFFFFF"/>
        </w:rPr>
        <w:t xml:space="preserve">International Conference on Smart </w:t>
      </w:r>
      <w:proofErr w:type="spellStart"/>
      <w:r w:rsidRPr="00850247">
        <w:rPr>
          <w:rFonts w:cs="Arial"/>
          <w:i/>
          <w:iCs/>
          <w:color w:val="222222"/>
          <w:sz w:val="24"/>
          <w:szCs w:val="24"/>
          <w:shd w:val="clear" w:color="auto" w:fill="FFFFFF"/>
        </w:rPr>
        <w:t>Blockchain</w:t>
      </w:r>
      <w:proofErr w:type="spellEnd"/>
      <w:r w:rsidRPr="00850247">
        <w:rPr>
          <w:rFonts w:cs="Arial"/>
          <w:color w:val="222222"/>
          <w:sz w:val="24"/>
          <w:szCs w:val="24"/>
          <w:shd w:val="clear" w:color="auto" w:fill="FFFFFF"/>
        </w:rPr>
        <w:t xml:space="preserve"> (pp. 167-177). Springer, Cham.</w:t>
      </w:r>
    </w:p>
    <w:p w:rsidR="00850247" w:rsidRDefault="00FA775A" w:rsidP="00850247">
      <w:pPr>
        <w:spacing w:after="0" w:line="480" w:lineRule="auto"/>
        <w:ind w:left="720" w:hanging="720"/>
        <w:rPr>
          <w:rFonts w:cs="Arial"/>
          <w:color w:val="222222"/>
          <w:sz w:val="24"/>
          <w:szCs w:val="24"/>
          <w:shd w:val="clear" w:color="auto" w:fill="FFFFFF"/>
        </w:rPr>
      </w:pPr>
      <w:proofErr w:type="spellStart"/>
      <w:r w:rsidRPr="00850247">
        <w:rPr>
          <w:rFonts w:cs="Arial"/>
          <w:color w:val="222222"/>
          <w:sz w:val="24"/>
          <w:szCs w:val="24"/>
          <w:shd w:val="clear" w:color="auto" w:fill="FFFFFF"/>
        </w:rPr>
        <w:lastRenderedPageBreak/>
        <w:t>Xinyang</w:t>
      </w:r>
      <w:proofErr w:type="spellEnd"/>
      <w:r w:rsidRPr="00850247">
        <w:rPr>
          <w:rFonts w:cs="Arial"/>
          <w:color w:val="222222"/>
          <w:sz w:val="24"/>
          <w:szCs w:val="24"/>
          <w:shd w:val="clear" w:color="auto" w:fill="FFFFFF"/>
        </w:rPr>
        <w:t xml:space="preserve">, W. (2019). Factors Positively Impacting the Loyalty of Walmart Hypermarket Customers in </w:t>
      </w:r>
      <w:proofErr w:type="spellStart"/>
      <w:r w:rsidRPr="00850247">
        <w:rPr>
          <w:rFonts w:cs="Arial"/>
          <w:color w:val="222222"/>
          <w:sz w:val="24"/>
          <w:szCs w:val="24"/>
          <w:shd w:val="clear" w:color="auto" w:fill="FFFFFF"/>
        </w:rPr>
        <w:t>Yuxi</w:t>
      </w:r>
      <w:proofErr w:type="spellEnd"/>
      <w:r w:rsidRPr="00850247">
        <w:rPr>
          <w:rFonts w:cs="Arial"/>
          <w:color w:val="222222"/>
          <w:sz w:val="24"/>
          <w:szCs w:val="24"/>
          <w:shd w:val="clear" w:color="auto" w:fill="FFFFFF"/>
        </w:rPr>
        <w:t xml:space="preserve"> City in China.</w:t>
      </w:r>
    </w:p>
    <w:p w:rsidR="00C23324" w:rsidRDefault="00C23324" w:rsidP="00850247">
      <w:pPr>
        <w:spacing w:after="0" w:line="480" w:lineRule="auto"/>
        <w:ind w:left="720" w:hanging="720"/>
        <w:rPr>
          <w:rFonts w:cs="Arial"/>
          <w:color w:val="222222"/>
          <w:sz w:val="24"/>
          <w:szCs w:val="24"/>
          <w:shd w:val="clear" w:color="auto" w:fill="FFFFFF"/>
        </w:rPr>
      </w:pPr>
    </w:p>
    <w:p w:rsidR="00C23324" w:rsidRDefault="00C23324" w:rsidP="00850247">
      <w:pPr>
        <w:spacing w:after="0" w:line="480" w:lineRule="auto"/>
        <w:ind w:left="720" w:hanging="720"/>
        <w:rPr>
          <w:rFonts w:cs="Arial"/>
          <w:color w:val="222222"/>
          <w:sz w:val="24"/>
          <w:szCs w:val="24"/>
          <w:shd w:val="clear" w:color="auto" w:fill="FFFFFF"/>
        </w:rPr>
      </w:pPr>
    </w:p>
    <w:p w:rsidR="007F3DB9" w:rsidRDefault="00C23324" w:rsidP="00850247">
      <w:pPr>
        <w:spacing w:after="0" w:line="480" w:lineRule="auto"/>
        <w:ind w:left="720" w:hanging="720"/>
        <w:rPr>
          <w:rFonts w:cs="Arial"/>
          <w:color w:val="222222"/>
          <w:sz w:val="24"/>
          <w:szCs w:val="24"/>
          <w:shd w:val="clear" w:color="auto" w:fill="FFFFFF"/>
        </w:rPr>
      </w:pPr>
      <w:bookmarkStart w:id="0" w:name="_GoBack"/>
      <w:r>
        <w:rPr>
          <w:noProof/>
        </w:rPr>
        <w:drawing>
          <wp:inline distT="0" distB="0" distL="0" distR="0" wp14:anchorId="080289FB" wp14:editId="647407F2">
            <wp:extent cx="6429375" cy="47339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p>
    <w:p w:rsidR="007F3DB9" w:rsidRPr="007F3DB9" w:rsidRDefault="007F3DB9" w:rsidP="007F3DB9">
      <w:pPr>
        <w:rPr>
          <w:rFonts w:cs="Arial"/>
          <w:sz w:val="24"/>
          <w:szCs w:val="24"/>
        </w:rPr>
      </w:pPr>
    </w:p>
    <w:p w:rsidR="007F3DB9" w:rsidRPr="007F3DB9" w:rsidRDefault="007F3DB9" w:rsidP="007F3DB9">
      <w:pPr>
        <w:rPr>
          <w:rFonts w:cs="Arial"/>
          <w:sz w:val="24"/>
          <w:szCs w:val="24"/>
        </w:rPr>
      </w:pPr>
    </w:p>
    <w:p w:rsidR="007F3DB9" w:rsidRPr="007F3DB9" w:rsidRDefault="007F3DB9" w:rsidP="007F3DB9">
      <w:pPr>
        <w:rPr>
          <w:rFonts w:cs="Arial"/>
          <w:sz w:val="24"/>
          <w:szCs w:val="24"/>
        </w:rPr>
      </w:pPr>
    </w:p>
    <w:p w:rsidR="007F3DB9" w:rsidRPr="007F3DB9" w:rsidRDefault="007F3DB9" w:rsidP="007F3DB9">
      <w:pPr>
        <w:rPr>
          <w:rFonts w:cs="Arial"/>
          <w:sz w:val="24"/>
          <w:szCs w:val="24"/>
        </w:rPr>
      </w:pPr>
    </w:p>
    <w:p w:rsidR="007F3DB9" w:rsidRPr="007F3DB9" w:rsidRDefault="007F3DB9" w:rsidP="007F3DB9">
      <w:pPr>
        <w:rPr>
          <w:rFonts w:cs="Arial"/>
          <w:sz w:val="24"/>
          <w:szCs w:val="24"/>
        </w:rPr>
      </w:pPr>
    </w:p>
    <w:p w:rsidR="007F3DB9" w:rsidRPr="007F3DB9" w:rsidRDefault="007F3DB9" w:rsidP="007F3DB9">
      <w:pPr>
        <w:rPr>
          <w:rFonts w:cs="Arial"/>
          <w:sz w:val="24"/>
          <w:szCs w:val="24"/>
        </w:rPr>
      </w:pPr>
    </w:p>
    <w:p w:rsidR="007F3DB9" w:rsidRPr="007F3DB9" w:rsidRDefault="007F3DB9" w:rsidP="007F3DB9">
      <w:pPr>
        <w:rPr>
          <w:rFonts w:cs="Arial"/>
          <w:sz w:val="24"/>
          <w:szCs w:val="24"/>
        </w:rPr>
      </w:pPr>
    </w:p>
    <w:p w:rsidR="007F3DB9" w:rsidRDefault="007F3DB9" w:rsidP="007F3DB9">
      <w:pPr>
        <w:rPr>
          <w:rFonts w:cs="Arial"/>
          <w:sz w:val="24"/>
          <w:szCs w:val="24"/>
        </w:rPr>
      </w:pPr>
    </w:p>
    <w:p w:rsidR="00C23324" w:rsidRPr="007F3DB9" w:rsidRDefault="007F3DB9" w:rsidP="007F3DB9">
      <w:pPr>
        <w:tabs>
          <w:tab w:val="left" w:pos="1830"/>
        </w:tabs>
        <w:rPr>
          <w:rFonts w:cs="Arial"/>
          <w:sz w:val="24"/>
          <w:szCs w:val="24"/>
        </w:rPr>
      </w:pPr>
      <w:r>
        <w:rPr>
          <w:rFonts w:cs="Arial"/>
          <w:sz w:val="24"/>
          <w:szCs w:val="24"/>
        </w:rPr>
        <w:tab/>
      </w:r>
      <w:r>
        <w:rPr>
          <w:noProof/>
        </w:rPr>
        <w:drawing>
          <wp:inline distT="0" distB="0" distL="0" distR="0" wp14:anchorId="37B8240C" wp14:editId="6FC97D47">
            <wp:extent cx="6219825" cy="5732780"/>
            <wp:effectExtent l="0" t="0" r="9525" b="12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sectPr w:rsidR="00C23324" w:rsidRPr="007F3DB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6C8" w:rsidRDefault="007C66C8">
      <w:pPr>
        <w:spacing w:after="0" w:line="240" w:lineRule="auto"/>
      </w:pPr>
      <w:r>
        <w:separator/>
      </w:r>
    </w:p>
  </w:endnote>
  <w:endnote w:type="continuationSeparator" w:id="0">
    <w:p w:rsidR="007C66C8" w:rsidRDefault="007C6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6C8" w:rsidRDefault="007C66C8">
      <w:pPr>
        <w:spacing w:after="0" w:line="240" w:lineRule="auto"/>
      </w:pPr>
      <w:r>
        <w:separator/>
      </w:r>
    </w:p>
  </w:footnote>
  <w:footnote w:type="continuationSeparator" w:id="0">
    <w:p w:rsidR="007C66C8" w:rsidRDefault="007C66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681229"/>
      <w:docPartObj>
        <w:docPartGallery w:val="Page Numbers (Top of Page)"/>
        <w:docPartUnique/>
      </w:docPartObj>
    </w:sdtPr>
    <w:sdtEndPr>
      <w:rPr>
        <w:noProof/>
      </w:rPr>
    </w:sdtEndPr>
    <w:sdtContent>
      <w:p w:rsidR="00282277" w:rsidRDefault="00FA775A">
        <w:pPr>
          <w:pStyle w:val="Header"/>
          <w:jc w:val="right"/>
        </w:pPr>
        <w:r>
          <w:fldChar w:fldCharType="begin"/>
        </w:r>
        <w:r>
          <w:instrText xml:space="preserve"> PAGE   \* MERGEFORMAT </w:instrText>
        </w:r>
        <w:r>
          <w:fldChar w:fldCharType="separate"/>
        </w:r>
        <w:r w:rsidR="00FF1E83">
          <w:rPr>
            <w:noProof/>
          </w:rPr>
          <w:t>12</w:t>
        </w:r>
        <w:r>
          <w:rPr>
            <w:noProof/>
          </w:rPr>
          <w:fldChar w:fldCharType="end"/>
        </w:r>
      </w:p>
    </w:sdtContent>
  </w:sdt>
  <w:p w:rsidR="00282277" w:rsidRDefault="002822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6AA"/>
    <w:rsid w:val="00023648"/>
    <w:rsid w:val="00024027"/>
    <w:rsid w:val="00030480"/>
    <w:rsid w:val="00044EBE"/>
    <w:rsid w:val="000457B1"/>
    <w:rsid w:val="000600EF"/>
    <w:rsid w:val="00082066"/>
    <w:rsid w:val="00093EB7"/>
    <w:rsid w:val="000F217D"/>
    <w:rsid w:val="00125F78"/>
    <w:rsid w:val="001313FB"/>
    <w:rsid w:val="00131DC2"/>
    <w:rsid w:val="00137C11"/>
    <w:rsid w:val="00141C52"/>
    <w:rsid w:val="00161EF4"/>
    <w:rsid w:val="00163753"/>
    <w:rsid w:val="001C41DA"/>
    <w:rsid w:val="001D4584"/>
    <w:rsid w:val="001E37A6"/>
    <w:rsid w:val="001E40C9"/>
    <w:rsid w:val="001F4CB3"/>
    <w:rsid w:val="0021333B"/>
    <w:rsid w:val="002443E2"/>
    <w:rsid w:val="00280125"/>
    <w:rsid w:val="00282277"/>
    <w:rsid w:val="0029318D"/>
    <w:rsid w:val="002A6C52"/>
    <w:rsid w:val="002C38DC"/>
    <w:rsid w:val="002D17BE"/>
    <w:rsid w:val="00322DF8"/>
    <w:rsid w:val="003470E6"/>
    <w:rsid w:val="00352C7B"/>
    <w:rsid w:val="00362F35"/>
    <w:rsid w:val="00367632"/>
    <w:rsid w:val="00370F22"/>
    <w:rsid w:val="003A059D"/>
    <w:rsid w:val="003B5338"/>
    <w:rsid w:val="003E6BA7"/>
    <w:rsid w:val="003F11FD"/>
    <w:rsid w:val="003F2AFD"/>
    <w:rsid w:val="003F4CC4"/>
    <w:rsid w:val="003F6C1D"/>
    <w:rsid w:val="00430A74"/>
    <w:rsid w:val="00436192"/>
    <w:rsid w:val="004404D7"/>
    <w:rsid w:val="00456AA3"/>
    <w:rsid w:val="00461969"/>
    <w:rsid w:val="004923C2"/>
    <w:rsid w:val="004C31EE"/>
    <w:rsid w:val="004C447C"/>
    <w:rsid w:val="004E16EA"/>
    <w:rsid w:val="004F5E58"/>
    <w:rsid w:val="00516ABE"/>
    <w:rsid w:val="005221B2"/>
    <w:rsid w:val="00542D34"/>
    <w:rsid w:val="00561D83"/>
    <w:rsid w:val="0056247E"/>
    <w:rsid w:val="005B3712"/>
    <w:rsid w:val="005B5737"/>
    <w:rsid w:val="005F4179"/>
    <w:rsid w:val="00623C04"/>
    <w:rsid w:val="0063322E"/>
    <w:rsid w:val="0063529C"/>
    <w:rsid w:val="00651A85"/>
    <w:rsid w:val="006C6DAF"/>
    <w:rsid w:val="006F7D46"/>
    <w:rsid w:val="00700F2E"/>
    <w:rsid w:val="00722099"/>
    <w:rsid w:val="007221F3"/>
    <w:rsid w:val="0073619B"/>
    <w:rsid w:val="00743EB1"/>
    <w:rsid w:val="00752688"/>
    <w:rsid w:val="0076313F"/>
    <w:rsid w:val="00781AF0"/>
    <w:rsid w:val="007B6B47"/>
    <w:rsid w:val="007C66C8"/>
    <w:rsid w:val="007C6B1E"/>
    <w:rsid w:val="007D5A01"/>
    <w:rsid w:val="007E5DCF"/>
    <w:rsid w:val="007F3DB9"/>
    <w:rsid w:val="008059FF"/>
    <w:rsid w:val="00836534"/>
    <w:rsid w:val="00850247"/>
    <w:rsid w:val="00853C23"/>
    <w:rsid w:val="00867B06"/>
    <w:rsid w:val="0087156F"/>
    <w:rsid w:val="008844DE"/>
    <w:rsid w:val="008921C1"/>
    <w:rsid w:val="008B359F"/>
    <w:rsid w:val="008B3823"/>
    <w:rsid w:val="008C37DF"/>
    <w:rsid w:val="008C4474"/>
    <w:rsid w:val="008D7E94"/>
    <w:rsid w:val="008E0316"/>
    <w:rsid w:val="008E4C4D"/>
    <w:rsid w:val="008F4E53"/>
    <w:rsid w:val="00933BCC"/>
    <w:rsid w:val="00937246"/>
    <w:rsid w:val="00971E2E"/>
    <w:rsid w:val="0097460A"/>
    <w:rsid w:val="009B06DE"/>
    <w:rsid w:val="009D06EF"/>
    <w:rsid w:val="009E161B"/>
    <w:rsid w:val="009F36FA"/>
    <w:rsid w:val="009F4AFB"/>
    <w:rsid w:val="009F7C2E"/>
    <w:rsid w:val="00A23A8B"/>
    <w:rsid w:val="00A47C84"/>
    <w:rsid w:val="00A57E93"/>
    <w:rsid w:val="00A67B1C"/>
    <w:rsid w:val="00A91C5E"/>
    <w:rsid w:val="00AA0AB1"/>
    <w:rsid w:val="00B029F4"/>
    <w:rsid w:val="00B03A34"/>
    <w:rsid w:val="00B13857"/>
    <w:rsid w:val="00B54F61"/>
    <w:rsid w:val="00B73A30"/>
    <w:rsid w:val="00B82E52"/>
    <w:rsid w:val="00BA1E72"/>
    <w:rsid w:val="00BA7DE2"/>
    <w:rsid w:val="00BB26C6"/>
    <w:rsid w:val="00BC7DCA"/>
    <w:rsid w:val="00BE492E"/>
    <w:rsid w:val="00BE6388"/>
    <w:rsid w:val="00C1364E"/>
    <w:rsid w:val="00C15E63"/>
    <w:rsid w:val="00C23324"/>
    <w:rsid w:val="00C246AA"/>
    <w:rsid w:val="00C41C06"/>
    <w:rsid w:val="00C57690"/>
    <w:rsid w:val="00CC7A09"/>
    <w:rsid w:val="00D51738"/>
    <w:rsid w:val="00D646AC"/>
    <w:rsid w:val="00D91666"/>
    <w:rsid w:val="00DA5D3E"/>
    <w:rsid w:val="00DE33C9"/>
    <w:rsid w:val="00DF0C6B"/>
    <w:rsid w:val="00E00401"/>
    <w:rsid w:val="00E30503"/>
    <w:rsid w:val="00E375CF"/>
    <w:rsid w:val="00E44C9C"/>
    <w:rsid w:val="00E46228"/>
    <w:rsid w:val="00E641BD"/>
    <w:rsid w:val="00E7341A"/>
    <w:rsid w:val="00E803B2"/>
    <w:rsid w:val="00E86F0A"/>
    <w:rsid w:val="00ED36A8"/>
    <w:rsid w:val="00F33204"/>
    <w:rsid w:val="00F34F67"/>
    <w:rsid w:val="00F4753C"/>
    <w:rsid w:val="00F67A83"/>
    <w:rsid w:val="00F7247A"/>
    <w:rsid w:val="00F75692"/>
    <w:rsid w:val="00FA5E33"/>
    <w:rsid w:val="00FA775A"/>
    <w:rsid w:val="00FC0EB7"/>
    <w:rsid w:val="00FC5007"/>
    <w:rsid w:val="00FD423F"/>
    <w:rsid w:val="00FD4D61"/>
    <w:rsid w:val="00FF1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90237-1648-4DD1-8FBD-1D5507CD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6AA"/>
  </w:style>
  <w:style w:type="paragraph" w:styleId="Footer">
    <w:name w:val="footer"/>
    <w:basedOn w:val="Normal"/>
    <w:link w:val="FooterChar"/>
    <w:uiPriority w:val="99"/>
    <w:unhideWhenUsed/>
    <w:rsid w:val="00C24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walmart</a:t>
            </a:r>
            <a:r>
              <a:rPr lang="en-US" baseline="0"/>
              <a:t> inc</a:t>
            </a:r>
            <a:endParaRPr lang="en-US"/>
          </a:p>
        </c:rich>
      </c:tx>
      <c:layout>
        <c:manualLayout>
          <c:xMode val="edge"/>
          <c:yMode val="edge"/>
          <c:x val="0.33699522301496354"/>
          <c:y val="0"/>
        </c:manualLayout>
      </c:layout>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12287769193170102"/>
          <c:y val="1.9633671796387381E-2"/>
          <c:w val="0.85510102317022574"/>
          <c:h val="0.93480906039560063"/>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[asreported.xlsx]asreported!$C$15:$C$59</c:f>
              <c:numCache>
                <c:formatCode>General</c:formatCode>
                <c:ptCount val="45"/>
              </c:numCache>
            </c:numRef>
          </c:val>
        </c:ser>
        <c:ser>
          <c:idx val="1"/>
          <c:order val="1"/>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[asreported.xlsx]asreported!$D$15:$D$59</c:f>
              <c:numCache>
                <c:formatCode>0</c:formatCode>
                <c:ptCount val="45"/>
                <c:pt idx="0" formatCode="General">
                  <c:v>0</c:v>
                </c:pt>
                <c:pt idx="1">
                  <c:v>7722000</c:v>
                </c:pt>
                <c:pt idx="2">
                  <c:v>6283000</c:v>
                </c:pt>
                <c:pt idx="3">
                  <c:v>44269000</c:v>
                </c:pt>
                <c:pt idx="4">
                  <c:v>3623000</c:v>
                </c:pt>
                <c:pt idx="5">
                  <c:v>61897000</c:v>
                </c:pt>
                <c:pt idx="6">
                  <c:v>24526000</c:v>
                </c:pt>
                <c:pt idx="7">
                  <c:v>101006000</c:v>
                </c:pt>
                <c:pt idx="8">
                  <c:v>54488000</c:v>
                </c:pt>
                <c:pt idx="9">
                  <c:v>2316000</c:v>
                </c:pt>
                <c:pt idx="10">
                  <c:v>3474000</c:v>
                </c:pt>
                <c:pt idx="11">
                  <c:v>185810000</c:v>
                </c:pt>
                <c:pt idx="12">
                  <c:v>81493000</c:v>
                </c:pt>
                <c:pt idx="13">
                  <c:v>104317000</c:v>
                </c:pt>
                <c:pt idx="14" formatCode="General">
                  <c:v>0</c:v>
                </c:pt>
                <c:pt idx="15" formatCode="General">
                  <c:v>0</c:v>
                </c:pt>
                <c:pt idx="16">
                  <c:v>12760000</c:v>
                </c:pt>
                <c:pt idx="17">
                  <c:v>5682000</c:v>
                </c:pt>
                <c:pt idx="18">
                  <c:v>7078000</c:v>
                </c:pt>
                <c:pt idx="19">
                  <c:v>31181000</c:v>
                </c:pt>
                <c:pt idx="20">
                  <c:v>14822000</c:v>
                </c:pt>
                <c:pt idx="21" formatCode="General">
                  <c:v>0</c:v>
                </c:pt>
                <c:pt idx="22">
                  <c:v>219295000</c:v>
                </c:pt>
                <c:pt idx="23">
                  <c:v>5225000</c:v>
                </c:pt>
                <c:pt idx="24">
                  <c:v>47060000</c:v>
                </c:pt>
                <c:pt idx="25">
                  <c:v>6504000</c:v>
                </c:pt>
                <c:pt idx="26">
                  <c:v>3979000</c:v>
                </c:pt>
                <c:pt idx="27">
                  <c:v>2979000</c:v>
                </c:pt>
                <c:pt idx="28">
                  <c:v>1932000</c:v>
                </c:pt>
                <c:pt idx="29">
                  <c:v>6765000</c:v>
                </c:pt>
                <c:pt idx="30">
                  <c:v>22159000</c:v>
                </c:pt>
                <c:pt idx="31">
                  <c:v>428000</c:v>
                </c:pt>
                <c:pt idx="32">
                  <c:v>1876000</c:v>
                </c:pt>
                <c:pt idx="33" formatCode="General">
                  <c:v>0</c:v>
                </c:pt>
                <c:pt idx="34" formatCode="General">
                  <c:v>0</c:v>
                </c:pt>
                <c:pt idx="35">
                  <c:v>729000</c:v>
                </c:pt>
                <c:pt idx="36">
                  <c:v>77477000</c:v>
                </c:pt>
                <c:pt idx="37">
                  <c:v>45661000</c:v>
                </c:pt>
                <c:pt idx="38">
                  <c:v>-265000</c:v>
                </c:pt>
                <c:pt idx="39">
                  <c:v>45396000</c:v>
                </c:pt>
                <c:pt idx="40">
                  <c:v>1876000</c:v>
                </c:pt>
                <c:pt idx="41">
                  <c:v>43520000</c:v>
                </c:pt>
                <c:pt idx="42" formatCode="General">
                  <c:v>0</c:v>
                </c:pt>
                <c:pt idx="43" formatCode="General">
                  <c:v>0</c:v>
                </c:pt>
                <c:pt idx="44">
                  <c:v>6683000</c:v>
                </c:pt>
              </c:numCache>
            </c:numRef>
          </c:val>
        </c:ser>
        <c:ser>
          <c:idx val="2"/>
          <c:order val="2"/>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[asreported.xlsx]asreported!$E$15:$E$59</c:f>
              <c:numCache>
                <c:formatCode>General</c:formatCode>
                <c:ptCount val="45"/>
              </c:numCache>
            </c:numRef>
          </c:val>
        </c:ser>
        <c:ser>
          <c:idx val="3"/>
          <c:order val="3"/>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[asreported.xlsx]asreported!$F$15:$F$59</c:f>
              <c:numCache>
                <c:formatCode>0</c:formatCode>
                <c:ptCount val="45"/>
                <c:pt idx="0" formatCode="General">
                  <c:v>0</c:v>
                </c:pt>
                <c:pt idx="1">
                  <c:v>6756000</c:v>
                </c:pt>
                <c:pt idx="2">
                  <c:v>5614000</c:v>
                </c:pt>
                <c:pt idx="3">
                  <c:v>43783000</c:v>
                </c:pt>
                <c:pt idx="4">
                  <c:v>3511000</c:v>
                </c:pt>
                <c:pt idx="5">
                  <c:v>59664000</c:v>
                </c:pt>
                <c:pt idx="6">
                  <c:v>25298000</c:v>
                </c:pt>
                <c:pt idx="7">
                  <c:v>101155000</c:v>
                </c:pt>
                <c:pt idx="8">
                  <c:v>52695000</c:v>
                </c:pt>
                <c:pt idx="9">
                  <c:v>2387000</c:v>
                </c:pt>
                <c:pt idx="10">
                  <c:v>3619000</c:v>
                </c:pt>
                <c:pt idx="11">
                  <c:v>185154000</c:v>
                </c:pt>
                <c:pt idx="12">
                  <c:v>77479000</c:v>
                </c:pt>
                <c:pt idx="13">
                  <c:v>107675000</c:v>
                </c:pt>
                <c:pt idx="14" formatCode="General">
                  <c:v>0</c:v>
                </c:pt>
                <c:pt idx="15" formatCode="General">
                  <c:v>0</c:v>
                </c:pt>
                <c:pt idx="16">
                  <c:v>12703000</c:v>
                </c:pt>
                <c:pt idx="17">
                  <c:v>5560000</c:v>
                </c:pt>
                <c:pt idx="18">
                  <c:v>7143000</c:v>
                </c:pt>
                <c:pt idx="19">
                  <c:v>18242000</c:v>
                </c:pt>
                <c:pt idx="20" formatCode="General">
                  <c:v>0</c:v>
                </c:pt>
                <c:pt idx="21">
                  <c:v>11798000</c:v>
                </c:pt>
                <c:pt idx="22">
                  <c:v>204522000</c:v>
                </c:pt>
                <c:pt idx="23">
                  <c:v>5257000</c:v>
                </c:pt>
                <c:pt idx="24">
                  <c:v>46092000</c:v>
                </c:pt>
                <c:pt idx="25">
                  <c:v>6998000</c:v>
                </c:pt>
                <c:pt idx="26">
                  <c:v>3737000</c:v>
                </c:pt>
                <c:pt idx="27">
                  <c:v>3073000</c:v>
                </c:pt>
                <c:pt idx="28">
                  <c:v>2017000</c:v>
                </c:pt>
                <c:pt idx="29">
                  <c:v>6297000</c:v>
                </c:pt>
                <c:pt idx="30">
                  <c:v>22122000</c:v>
                </c:pt>
                <c:pt idx="31">
                  <c:v>645000</c:v>
                </c:pt>
                <c:pt idx="32">
                  <c:v>3738000</c:v>
                </c:pt>
                <c:pt idx="33" formatCode="General">
                  <c:v>0</c:v>
                </c:pt>
                <c:pt idx="34" formatCode="General">
                  <c:v>0</c:v>
                </c:pt>
                <c:pt idx="35">
                  <c:v>667000</c:v>
                </c:pt>
                <c:pt idx="36">
                  <c:v>78521000</c:v>
                </c:pt>
                <c:pt idx="37">
                  <c:v>33897000</c:v>
                </c:pt>
                <c:pt idx="38">
                  <c:v>-114000</c:v>
                </c:pt>
                <c:pt idx="39">
                  <c:v>33783000</c:v>
                </c:pt>
                <c:pt idx="40">
                  <c:v>3738000</c:v>
                </c:pt>
                <c:pt idx="41">
                  <c:v>30045000</c:v>
                </c:pt>
                <c:pt idx="42" formatCode="General">
                  <c:v>0</c:v>
                </c:pt>
                <c:pt idx="43" formatCode="General">
                  <c:v>0</c:v>
                </c:pt>
                <c:pt idx="44">
                  <c:v>6780000</c:v>
                </c:pt>
              </c:numCache>
            </c:numRef>
          </c:val>
        </c:ser>
        <c:ser>
          <c:idx val="4"/>
          <c:order val="4"/>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[asreported.xlsx]asreported!$G$15:$G$59</c:f>
              <c:numCache>
                <c:formatCode>General</c:formatCode>
                <c:ptCount val="45"/>
              </c:numCache>
            </c:numRef>
          </c:val>
        </c:ser>
        <c:ser>
          <c:idx val="5"/>
          <c:order val="5"/>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[asreported.xlsx]asreported!$H$15:$H$59</c:f>
              <c:numCache>
                <c:formatCode>0</c:formatCode>
                <c:ptCount val="45"/>
                <c:pt idx="0" formatCode="General">
                  <c:v>0</c:v>
                </c:pt>
                <c:pt idx="1">
                  <c:v>6867000</c:v>
                </c:pt>
                <c:pt idx="2">
                  <c:v>5835000</c:v>
                </c:pt>
                <c:pt idx="3">
                  <c:v>43046000</c:v>
                </c:pt>
                <c:pt idx="4">
                  <c:v>1941000</c:v>
                </c:pt>
                <c:pt idx="5">
                  <c:v>57689000</c:v>
                </c:pt>
                <c:pt idx="6">
                  <c:v>24801000</c:v>
                </c:pt>
                <c:pt idx="7">
                  <c:v>98547000</c:v>
                </c:pt>
                <c:pt idx="8">
                  <c:v>48998000</c:v>
                </c:pt>
                <c:pt idx="9">
                  <c:v>2845000</c:v>
                </c:pt>
                <c:pt idx="10">
                  <c:v>4301000</c:v>
                </c:pt>
                <c:pt idx="11">
                  <c:v>179492000</c:v>
                </c:pt>
                <c:pt idx="12">
                  <c:v>71782000</c:v>
                </c:pt>
                <c:pt idx="13">
                  <c:v>107710000</c:v>
                </c:pt>
                <c:pt idx="14" formatCode="General">
                  <c:v>0</c:v>
                </c:pt>
                <c:pt idx="15" formatCode="General">
                  <c:v>0</c:v>
                </c:pt>
                <c:pt idx="16">
                  <c:v>11637000</c:v>
                </c:pt>
                <c:pt idx="17">
                  <c:v>5169000</c:v>
                </c:pt>
                <c:pt idx="18">
                  <c:v>6468000</c:v>
                </c:pt>
                <c:pt idx="19">
                  <c:v>17037000</c:v>
                </c:pt>
                <c:pt idx="20" formatCode="General">
                  <c:v>0</c:v>
                </c:pt>
                <c:pt idx="21">
                  <c:v>9921000</c:v>
                </c:pt>
                <c:pt idx="22">
                  <c:v>198825000</c:v>
                </c:pt>
                <c:pt idx="23">
                  <c:v>1099000</c:v>
                </c:pt>
                <c:pt idx="24">
                  <c:v>41433000</c:v>
                </c:pt>
                <c:pt idx="25">
                  <c:v>6105000</c:v>
                </c:pt>
                <c:pt idx="26">
                  <c:v>3922000</c:v>
                </c:pt>
                <c:pt idx="27">
                  <c:v>2816000</c:v>
                </c:pt>
                <c:pt idx="28" formatCode="General">
                  <c:v>0</c:v>
                </c:pt>
                <c:pt idx="29">
                  <c:v>7811000</c:v>
                </c:pt>
                <c:pt idx="30">
                  <c:v>20654000</c:v>
                </c:pt>
                <c:pt idx="31">
                  <c:v>921000</c:v>
                </c:pt>
                <c:pt idx="32">
                  <c:v>2256000</c:v>
                </c:pt>
                <c:pt idx="33" formatCode="General">
                  <c:v>0</c:v>
                </c:pt>
                <c:pt idx="34" formatCode="General">
                  <c:v>0</c:v>
                </c:pt>
                <c:pt idx="35">
                  <c:v>565000</c:v>
                </c:pt>
                <c:pt idx="36">
                  <c:v>66928000</c:v>
                </c:pt>
                <c:pt idx="37">
                  <c:v>38132000</c:v>
                </c:pt>
                <c:pt idx="38">
                  <c:v>139000</c:v>
                </c:pt>
                <c:pt idx="39">
                  <c:v>38271000</c:v>
                </c:pt>
                <c:pt idx="40">
                  <c:v>2256000</c:v>
                </c:pt>
                <c:pt idx="41">
                  <c:v>36015000</c:v>
                </c:pt>
                <c:pt idx="42" formatCode="General">
                  <c:v>0</c:v>
                </c:pt>
                <c:pt idx="43" formatCode="General">
                  <c:v>0</c:v>
                </c:pt>
                <c:pt idx="44">
                  <c:v>6003000</c:v>
                </c:pt>
              </c:numCache>
            </c:numRef>
          </c:val>
        </c:ser>
        <c:ser>
          <c:idx val="6"/>
          <c:order val="6"/>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[asreported.xlsx]asreported!$I$15:$I$59</c:f>
              <c:numCache>
                <c:formatCode>General</c:formatCode>
                <c:ptCount val="45"/>
              </c:numCache>
            </c:numRef>
          </c:val>
        </c:ser>
        <c:ser>
          <c:idx val="7"/>
          <c:order val="7"/>
          <c:spPr>
            <a:pattFill prst="narHorz">
              <a:fgClr>
                <a:schemeClr val="accent2">
                  <a:lumMod val="60000"/>
                </a:schemeClr>
              </a:fgClr>
              <a:bgClr>
                <a:schemeClr val="accent2">
                  <a:lumMod val="60000"/>
                  <a:lumMod val="20000"/>
                  <a:lumOff val="80000"/>
                </a:schemeClr>
              </a:bgClr>
            </a:pattFill>
            <a:ln>
              <a:noFill/>
            </a:ln>
            <a:effectLst>
              <a:innerShdw blurRad="114300">
                <a:schemeClr val="accent2">
                  <a:lumMod val="60000"/>
                </a:schemeClr>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[asreported.xlsx]asreported!$J$15:$J$59</c:f>
              <c:numCache>
                <c:formatCode>0</c:formatCode>
                <c:ptCount val="45"/>
                <c:pt idx="0" formatCode="General">
                  <c:v>0</c:v>
                </c:pt>
                <c:pt idx="1">
                  <c:v>8705000</c:v>
                </c:pt>
                <c:pt idx="2">
                  <c:v>5624000</c:v>
                </c:pt>
                <c:pt idx="3">
                  <c:v>44469000</c:v>
                </c:pt>
                <c:pt idx="4">
                  <c:v>1441000</c:v>
                </c:pt>
                <c:pt idx="5">
                  <c:v>60239000</c:v>
                </c:pt>
                <c:pt idx="6">
                  <c:v>25624000</c:v>
                </c:pt>
                <c:pt idx="7">
                  <c:v>96845000</c:v>
                </c:pt>
                <c:pt idx="8">
                  <c:v>47033000</c:v>
                </c:pt>
                <c:pt idx="9">
                  <c:v>2917000</c:v>
                </c:pt>
                <c:pt idx="10">
                  <c:v>4539000</c:v>
                </c:pt>
                <c:pt idx="11">
                  <c:v>176958000</c:v>
                </c:pt>
                <c:pt idx="12">
                  <c:v>66787000</c:v>
                </c:pt>
                <c:pt idx="13">
                  <c:v>110171000</c:v>
                </c:pt>
                <c:pt idx="14" formatCode="General">
                  <c:v>0</c:v>
                </c:pt>
                <c:pt idx="15" formatCode="General">
                  <c:v>0</c:v>
                </c:pt>
                <c:pt idx="16">
                  <c:v>11096000</c:v>
                </c:pt>
                <c:pt idx="17">
                  <c:v>4751000</c:v>
                </c:pt>
                <c:pt idx="18">
                  <c:v>6345000</c:v>
                </c:pt>
                <c:pt idx="19">
                  <c:v>16695000</c:v>
                </c:pt>
                <c:pt idx="20" formatCode="General">
                  <c:v>0</c:v>
                </c:pt>
                <c:pt idx="21">
                  <c:v>6131000</c:v>
                </c:pt>
                <c:pt idx="22">
                  <c:v>199581000</c:v>
                </c:pt>
                <c:pt idx="23">
                  <c:v>2708000</c:v>
                </c:pt>
                <c:pt idx="24">
                  <c:v>38487000</c:v>
                </c:pt>
                <c:pt idx="25">
                  <c:v>5814000</c:v>
                </c:pt>
                <c:pt idx="26">
                  <c:v>3414000</c:v>
                </c:pt>
                <c:pt idx="27">
                  <c:v>2544000</c:v>
                </c:pt>
                <c:pt idx="28" formatCode="General">
                  <c:v>0</c:v>
                </c:pt>
                <c:pt idx="29">
                  <c:v>7835000</c:v>
                </c:pt>
                <c:pt idx="30">
                  <c:v>19607000</c:v>
                </c:pt>
                <c:pt idx="31">
                  <c:v>521000</c:v>
                </c:pt>
                <c:pt idx="32">
                  <c:v>2745000</c:v>
                </c:pt>
                <c:pt idx="33" formatCode="General">
                  <c:v>0</c:v>
                </c:pt>
                <c:pt idx="34" formatCode="General">
                  <c:v>0</c:v>
                </c:pt>
                <c:pt idx="35">
                  <c:v>551000</c:v>
                </c:pt>
                <c:pt idx="36">
                  <c:v>64619000</c:v>
                </c:pt>
                <c:pt idx="37">
                  <c:v>40776000</c:v>
                </c:pt>
                <c:pt idx="38">
                  <c:v>183000</c:v>
                </c:pt>
                <c:pt idx="39">
                  <c:v>40959000</c:v>
                </c:pt>
                <c:pt idx="40">
                  <c:v>2745000</c:v>
                </c:pt>
                <c:pt idx="41">
                  <c:v>38214000</c:v>
                </c:pt>
                <c:pt idx="42" formatCode="General">
                  <c:v>0</c:v>
                </c:pt>
                <c:pt idx="43" formatCode="General">
                  <c:v>0</c:v>
                </c:pt>
                <c:pt idx="44">
                  <c:v>5816000</c:v>
                </c:pt>
              </c:numCache>
            </c:numRef>
          </c:val>
        </c:ser>
        <c:ser>
          <c:idx val="8"/>
          <c:order val="8"/>
          <c:spPr>
            <a:pattFill prst="narHorz">
              <a:fgClr>
                <a:schemeClr val="accent3">
                  <a:lumMod val="60000"/>
                </a:schemeClr>
              </a:fgClr>
              <a:bgClr>
                <a:schemeClr val="accent3">
                  <a:lumMod val="60000"/>
                  <a:lumMod val="20000"/>
                  <a:lumOff val="80000"/>
                </a:schemeClr>
              </a:bgClr>
            </a:pattFill>
            <a:ln>
              <a:noFill/>
            </a:ln>
            <a:effectLst>
              <a:innerShdw blurRad="114300">
                <a:schemeClr val="accent3">
                  <a:lumMod val="60000"/>
                </a:schemeClr>
              </a:innerShdw>
            </a:effectLst>
          </c:spPr>
          <c:invertIfNegative val="0"/>
          <c:cat>
            <c:strRef>
              <c:f>[asreported.xlsx]asreported!$B$15:$B$59</c:f>
              <c:strCache>
                <c:ptCount val="45"/>
                <c:pt idx="0">
                  <c:v>Thousands</c:v>
                </c:pt>
                <c:pt idx="1">
                  <c:v>9465000</c:v>
                </c:pt>
                <c:pt idx="2">
                  <c:v>6284000</c:v>
                </c:pt>
                <c:pt idx="3">
                  <c:v>44435000</c:v>
                </c:pt>
                <c:pt idx="4">
                  <c:v>1622000</c:v>
                </c:pt>
                <c:pt idx="5">
                  <c:v>61806000</c:v>
                </c:pt>
                <c:pt idx="6">
                  <c:v>24619000</c:v>
                </c:pt>
                <c:pt idx="7">
                  <c:v>105674000</c:v>
                </c:pt>
                <c:pt idx="8">
                  <c:v>58607000</c:v>
                </c:pt>
                <c:pt idx="9">
                  <c:v>2377000</c:v>
                </c:pt>
                <c:pt idx="10">
                  <c:v>3751000</c:v>
                </c:pt>
                <c:pt idx="11">
                  <c:v>195028000</c:v>
                </c:pt>
                <c:pt idx="12">
                  <c:v>89820000</c:v>
                </c:pt>
                <c:pt idx="13">
                  <c:v>105208000</c:v>
                </c:pt>
                <c:pt idx="14">
                  <c:v>17424000</c:v>
                </c:pt>
                <c:pt idx="15">
                  <c:v>4417000</c:v>
                </c:pt>
                <c:pt idx="16">
                  <c:v>-</c:v>
                </c:pt>
                <c:pt idx="17">
                  <c:v>-</c:v>
                </c:pt>
                <c:pt idx="18">
                  <c:v>-</c:v>
                </c:pt>
                <c:pt idx="19">
                  <c:v>31073000</c:v>
                </c:pt>
                <c:pt idx="20">
                  <c:v>16567000</c:v>
                </c:pt>
                <c:pt idx="21">
                  <c:v>-</c:v>
                </c:pt>
                <c:pt idx="22">
                  <c:v>236495000</c:v>
                </c:pt>
                <c:pt idx="23">
                  <c:v>575000</c:v>
                </c:pt>
                <c:pt idx="24">
                  <c:v>46973000</c:v>
                </c:pt>
                <c:pt idx="25">
                  <c:v>6093000</c:v>
                </c:pt>
                <c:pt idx="26">
                  <c:v>4469000</c:v>
                </c:pt>
                <c:pt idx="27">
                  <c:v>3039000</c:v>
                </c:pt>
                <c:pt idx="28">
                  <c:v>1990000</c:v>
                </c:pt>
                <c:pt idx="29">
                  <c:v>6705000</c:v>
                </c:pt>
                <c:pt idx="30">
                  <c:v>22296000</c:v>
                </c:pt>
                <c:pt idx="31">
                  <c:v>280000</c:v>
                </c:pt>
                <c:pt idx="32">
                  <c:v>5362000</c:v>
                </c:pt>
                <c:pt idx="33">
                  <c:v>1793000</c:v>
                </c:pt>
                <c:pt idx="34">
                  <c:v>511000</c:v>
                </c:pt>
                <c:pt idx="35">
                  <c:v>-</c:v>
                </c:pt>
                <c:pt idx="36">
                  <c:v>77790000</c:v>
                </c:pt>
                <c:pt idx="37">
                  <c:v>49180000</c:v>
                </c:pt>
                <c:pt idx="38">
                  <c:v>-104000</c:v>
                </c:pt>
                <c:pt idx="39">
                  <c:v>49076000</c:v>
                </c:pt>
                <c:pt idx="40">
                  <c:v>5362000</c:v>
                </c:pt>
                <c:pt idx="41">
                  <c:v>43714000</c:v>
                </c:pt>
                <c:pt idx="42">
                  <c:v>16171000</c:v>
                </c:pt>
                <c:pt idx="43">
                  <c:v>4307000</c:v>
                </c:pt>
                <c:pt idx="44">
                  <c:v>-</c:v>
                </c:pt>
              </c:strCache>
            </c:strRef>
          </c:cat>
          <c:val>
            <c:numRef>
              <c:f>[asreported.xlsx]asreported!$K$15:$K$59</c:f>
              <c:numCache>
                <c:formatCode>General</c:formatCode>
                <c:ptCount val="45"/>
              </c:numCache>
            </c:numRef>
          </c:val>
        </c:ser>
        <c:dLbls>
          <c:showLegendKey val="0"/>
          <c:showVal val="0"/>
          <c:showCatName val="0"/>
          <c:showSerName val="0"/>
          <c:showPercent val="0"/>
          <c:showBubbleSize val="0"/>
        </c:dLbls>
        <c:gapWidth val="164"/>
        <c:overlap val="-22"/>
        <c:axId val="296911704"/>
        <c:axId val="296914056"/>
      </c:barChart>
      <c:catAx>
        <c:axId val="29691170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914056"/>
        <c:crosses val="autoZero"/>
        <c:auto val="1"/>
        <c:lblAlgn val="ctr"/>
        <c:lblOffset val="100"/>
        <c:noMultiLvlLbl val="0"/>
      </c:catAx>
      <c:valAx>
        <c:axId val="2969140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9117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[asreported.xlsx]asreported!$A$4</c:f>
              <c:strCache>
                <c:ptCount val="1"/>
                <c:pt idx="0">
                  <c:v>Powered by Clearbit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[asreported.xlsx]asreported!$B$1:$K$3</c:f>
            </c:numRef>
          </c:xVal>
          <c:yVal>
            <c:numRef>
              <c:f>[asreported.xlsx]asreported!$B$4:$K$4</c:f>
              <c:numCache>
                <c:formatCode>General</c:formatCode>
                <c:ptCount val="10"/>
              </c:numCache>
            </c:numRef>
          </c:yVal>
          <c:smooth val="0"/>
        </c:ser>
        <c:ser>
          <c:idx val="1"/>
          <c:order val="1"/>
          <c:tx>
            <c:strRef>
              <c:f>[asreported.xlsx]asreported!$A$5</c:f>
              <c:strCache>
                <c:ptCount val="1"/>
                <c:pt idx="0">
                  <c:v>Walmart Inc (NYS: WMT)</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[asreported.xlsx]asreported!$B$1:$K$3</c:f>
            </c:numRef>
          </c:xVal>
          <c:yVal>
            <c:numRef>
              <c:f>[asreported.xlsx]asreported!$B$5:$K$5</c:f>
              <c:numCache>
                <c:formatCode>General</c:formatCode>
                <c:ptCount val="10"/>
              </c:numCache>
            </c:numRef>
          </c:yVal>
          <c:smooth val="0"/>
        </c:ser>
        <c:ser>
          <c:idx val="2"/>
          <c:order val="2"/>
          <c:tx>
            <c:strRef>
              <c:f>[asreported.xlsx]asreported!$A$6</c:f>
              <c:strCache>
                <c:ptCount val="1"/>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numRef>
              <c:f>[asreported.xlsx]asreported!$B$1:$K$3</c:f>
            </c:numRef>
          </c:xVal>
          <c:yVal>
            <c:numRef>
              <c:f>[asreported.xlsx]asreported!$B$6:$K$6</c:f>
              <c:numCache>
                <c:formatCode>General</c:formatCode>
                <c:ptCount val="10"/>
              </c:numCache>
            </c:numRef>
          </c:yVal>
          <c:smooth val="0"/>
        </c:ser>
        <c:ser>
          <c:idx val="3"/>
          <c:order val="3"/>
          <c:tx>
            <c:strRef>
              <c:f>[asreported.xlsx]asreported!$A$7</c:f>
              <c:strCache>
                <c:ptCount val="1"/>
                <c:pt idx="0">
                  <c:v>Exchange rate used is that of the Year End reported date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0"/>
          </c:trendline>
          <c:xVal>
            <c:numRef>
              <c:f>[asreported.xlsx]asreported!$B$1:$K$3</c:f>
            </c:numRef>
          </c:xVal>
          <c:yVal>
            <c:numRef>
              <c:f>[asreported.xlsx]asreported!$B$7:$K$7</c:f>
              <c:numCache>
                <c:formatCode>General</c:formatCode>
                <c:ptCount val="10"/>
              </c:numCache>
            </c:numRef>
          </c:yVal>
          <c:smooth val="0"/>
        </c:ser>
        <c:ser>
          <c:idx val="4"/>
          <c:order val="4"/>
          <c:tx>
            <c:strRef>
              <c:f>[asreported.xlsx]asreported!$A$8</c:f>
              <c:strCache>
                <c:ptCount val="1"/>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dispRSqr val="0"/>
            <c:dispEq val="0"/>
          </c:trendline>
          <c:xVal>
            <c:numRef>
              <c:f>[asreported.xlsx]asreported!$B$1:$K$3</c:f>
            </c:numRef>
          </c:xVal>
          <c:yVal>
            <c:numRef>
              <c:f>[asreported.xlsx]asreported!$B$8:$K$8</c:f>
              <c:numCache>
                <c:formatCode>General</c:formatCode>
                <c:ptCount val="10"/>
              </c:numCache>
            </c:numRef>
          </c:yVal>
          <c:smooth val="0"/>
        </c:ser>
        <c:ser>
          <c:idx val="5"/>
          <c:order val="5"/>
          <c:tx>
            <c:strRef>
              <c:f>[asreported.xlsx]asreported!$A$9</c:f>
              <c:strCache>
                <c:ptCount val="1"/>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0"/>
            <c:dispEq val="0"/>
          </c:trendline>
          <c:xVal>
            <c:numRef>
              <c:f>[asreported.xlsx]asreported!$B$1:$K$3</c:f>
            </c:numRef>
          </c:xVal>
          <c:yVal>
            <c:numRef>
              <c:f>[asreported.xlsx]asreported!$B$9:$K$9</c:f>
              <c:numCache>
                <c:formatCode>General</c:formatCode>
                <c:ptCount val="10"/>
              </c:numCache>
            </c:numRef>
          </c:yVal>
          <c:smooth val="0"/>
        </c:ser>
        <c:ser>
          <c:idx val="6"/>
          <c:order val="6"/>
          <c:tx>
            <c:strRef>
              <c:f>[asreported.xlsx]asreported!$A$10</c:f>
              <c:strCache>
                <c:ptCount val="1"/>
                <c:pt idx="0">
                  <c:v>As Reported Annual Balance Sheet </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trendline>
            <c:spPr>
              <a:ln w="19050" cap="rnd">
                <a:solidFill>
                  <a:schemeClr val="accent1">
                    <a:lumMod val="60000"/>
                  </a:schemeClr>
                </a:solidFill>
                <a:prstDash val="sysDot"/>
              </a:ln>
              <a:effectLst/>
            </c:spPr>
            <c:trendlineType val="linear"/>
            <c:dispRSqr val="0"/>
            <c:dispEq val="0"/>
          </c:trendline>
          <c:xVal>
            <c:numRef>
              <c:f>[asreported.xlsx]asreported!$B$1:$K$3</c:f>
            </c:numRef>
          </c:xVal>
          <c:yVal>
            <c:numRef>
              <c:f>[asreported.xlsx]asreported!$B$10:$K$10</c:f>
              <c:numCache>
                <c:formatCode>General</c:formatCode>
                <c:ptCount val="10"/>
              </c:numCache>
            </c:numRef>
          </c:yVal>
          <c:smooth val="0"/>
        </c:ser>
        <c:ser>
          <c:idx val="7"/>
          <c:order val="7"/>
          <c:tx>
            <c:strRef>
              <c:f>[asreported.xlsx]asreported!$A$11</c:f>
              <c:strCache>
                <c:ptCount val="1"/>
                <c:pt idx="0">
                  <c:v>Report Date</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trendline>
            <c:spPr>
              <a:ln w="19050" cap="rnd">
                <a:solidFill>
                  <a:schemeClr val="accent2">
                    <a:lumMod val="60000"/>
                  </a:schemeClr>
                </a:solidFill>
                <a:prstDash val="sysDot"/>
              </a:ln>
              <a:effectLst/>
            </c:spPr>
            <c:trendlineType val="linear"/>
            <c:dispRSqr val="0"/>
            <c:dispEq val="0"/>
          </c:trendline>
          <c:xVal>
            <c:numRef>
              <c:f>[asreported.xlsx]asreported!$B$1:$K$3</c:f>
            </c:numRef>
          </c:xVal>
          <c:yVal>
            <c:numRef>
              <c:f>[asreported.xlsx]asreported!$B$11:$K$11</c:f>
              <c:numCache>
                <c:formatCode>General</c:formatCode>
                <c:ptCount val="10"/>
                <c:pt idx="0">
                  <c:v>0</c:v>
                </c:pt>
                <c:pt idx="2">
                  <c:v>0</c:v>
                </c:pt>
                <c:pt idx="4">
                  <c:v>0</c:v>
                </c:pt>
                <c:pt idx="6">
                  <c:v>0</c:v>
                </c:pt>
                <c:pt idx="8">
                  <c:v>0</c:v>
                </c:pt>
              </c:numCache>
            </c:numRef>
          </c:yVal>
          <c:smooth val="0"/>
        </c:ser>
        <c:ser>
          <c:idx val="8"/>
          <c:order val="8"/>
          <c:tx>
            <c:strRef>
              <c:f>[asreported.xlsx]asreported!$A$12</c:f>
              <c:strCache>
                <c:ptCount val="1"/>
                <c:pt idx="0">
                  <c:v>Currency</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trendline>
            <c:spPr>
              <a:ln w="19050" cap="rnd">
                <a:solidFill>
                  <a:schemeClr val="accent3">
                    <a:lumMod val="60000"/>
                  </a:schemeClr>
                </a:solidFill>
                <a:prstDash val="sysDot"/>
              </a:ln>
              <a:effectLst/>
            </c:spPr>
            <c:trendlineType val="linear"/>
            <c:dispRSqr val="0"/>
            <c:dispEq val="0"/>
          </c:trendline>
          <c:xVal>
            <c:numRef>
              <c:f>[asreported.xlsx]asreported!$B$1:$K$3</c:f>
            </c:numRef>
          </c:xVal>
          <c:yVal>
            <c:numRef>
              <c:f>[asreported.xlsx]asreported!$B$12:$K$12</c:f>
              <c:numCache>
                <c:formatCode>General</c:formatCode>
                <c:ptCount val="10"/>
                <c:pt idx="0">
                  <c:v>0</c:v>
                </c:pt>
                <c:pt idx="2">
                  <c:v>0</c:v>
                </c:pt>
                <c:pt idx="4">
                  <c:v>0</c:v>
                </c:pt>
                <c:pt idx="6">
                  <c:v>0</c:v>
                </c:pt>
                <c:pt idx="8">
                  <c:v>0</c:v>
                </c:pt>
              </c:numCache>
            </c:numRef>
          </c:yVal>
          <c:smooth val="0"/>
        </c:ser>
        <c:ser>
          <c:idx val="9"/>
          <c:order val="9"/>
          <c:tx>
            <c:strRef>
              <c:f>[asreported.xlsx]asreported!$A$13</c:f>
              <c:strCache>
                <c:ptCount val="1"/>
                <c:pt idx="0">
                  <c:v>Audit Status</c:v>
                </c:pt>
              </c:strCache>
            </c:strRef>
          </c:tx>
          <c:spPr>
            <a:ln w="19050"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trendline>
            <c:spPr>
              <a:ln w="19050" cap="rnd">
                <a:solidFill>
                  <a:schemeClr val="accent4">
                    <a:lumMod val="60000"/>
                  </a:schemeClr>
                </a:solidFill>
                <a:prstDash val="sysDot"/>
              </a:ln>
              <a:effectLst/>
            </c:spPr>
            <c:trendlineType val="linear"/>
            <c:dispRSqr val="0"/>
            <c:dispEq val="0"/>
          </c:trendline>
          <c:xVal>
            <c:numRef>
              <c:f>[asreported.xlsx]asreported!$B$1:$K$3</c:f>
            </c:numRef>
          </c:xVal>
          <c:yVal>
            <c:numRef>
              <c:f>[asreported.xlsx]asreported!$B$13:$K$13</c:f>
              <c:numCache>
                <c:formatCode>General</c:formatCode>
                <c:ptCount val="10"/>
                <c:pt idx="0">
                  <c:v>0</c:v>
                </c:pt>
                <c:pt idx="2">
                  <c:v>0</c:v>
                </c:pt>
                <c:pt idx="4">
                  <c:v>0</c:v>
                </c:pt>
                <c:pt idx="6">
                  <c:v>0</c:v>
                </c:pt>
                <c:pt idx="8">
                  <c:v>0</c:v>
                </c:pt>
              </c:numCache>
            </c:numRef>
          </c:yVal>
          <c:smooth val="0"/>
        </c:ser>
        <c:ser>
          <c:idx val="10"/>
          <c:order val="10"/>
          <c:tx>
            <c:strRef>
              <c:f>[asreported.xlsx]asreported!$A$14</c:f>
              <c:strCache>
                <c:ptCount val="1"/>
                <c:pt idx="0">
                  <c:v>Consolidated</c:v>
                </c:pt>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trendline>
            <c:spPr>
              <a:ln w="19050" cap="rnd">
                <a:solidFill>
                  <a:schemeClr val="accent5">
                    <a:lumMod val="60000"/>
                  </a:schemeClr>
                </a:solidFill>
                <a:prstDash val="sysDot"/>
              </a:ln>
              <a:effectLst/>
            </c:spPr>
            <c:trendlineType val="linear"/>
            <c:dispRSqr val="0"/>
            <c:dispEq val="0"/>
          </c:trendline>
          <c:xVal>
            <c:numRef>
              <c:f>[asreported.xlsx]asreported!$B$1:$K$3</c:f>
            </c:numRef>
          </c:xVal>
          <c:yVal>
            <c:numRef>
              <c:f>[asreported.xlsx]asreported!$B$14:$K$14</c:f>
              <c:numCache>
                <c:formatCode>General</c:formatCode>
                <c:ptCount val="10"/>
                <c:pt idx="0">
                  <c:v>0</c:v>
                </c:pt>
                <c:pt idx="2">
                  <c:v>0</c:v>
                </c:pt>
                <c:pt idx="4">
                  <c:v>0</c:v>
                </c:pt>
                <c:pt idx="6">
                  <c:v>0</c:v>
                </c:pt>
                <c:pt idx="8">
                  <c:v>0</c:v>
                </c:pt>
              </c:numCache>
            </c:numRef>
          </c:yVal>
          <c:smooth val="0"/>
        </c:ser>
        <c:ser>
          <c:idx val="11"/>
          <c:order val="11"/>
          <c:tx>
            <c:strRef>
              <c:f>[asreported.xlsx]asreported!$A$15</c:f>
              <c:strCache>
                <c:ptCount val="1"/>
                <c:pt idx="0">
                  <c:v>Scale</c:v>
                </c:pt>
              </c:strCache>
            </c:strRef>
          </c:tx>
          <c:spPr>
            <a:ln w="19050"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trendline>
            <c:spPr>
              <a:ln w="19050" cap="rnd">
                <a:solidFill>
                  <a:schemeClr val="accent6">
                    <a:lumMod val="60000"/>
                  </a:schemeClr>
                </a:solidFill>
                <a:prstDash val="sysDot"/>
              </a:ln>
              <a:effectLst/>
            </c:spPr>
            <c:trendlineType val="linear"/>
            <c:dispRSqr val="0"/>
            <c:dispEq val="0"/>
          </c:trendline>
          <c:xVal>
            <c:numRef>
              <c:f>[asreported.xlsx]asreported!$B$1:$K$3</c:f>
            </c:numRef>
          </c:xVal>
          <c:yVal>
            <c:numRef>
              <c:f>[asreported.xlsx]asreported!$B$15:$K$15</c:f>
              <c:numCache>
                <c:formatCode>General</c:formatCode>
                <c:ptCount val="10"/>
                <c:pt idx="0">
                  <c:v>0</c:v>
                </c:pt>
                <c:pt idx="2">
                  <c:v>0</c:v>
                </c:pt>
                <c:pt idx="4">
                  <c:v>0</c:v>
                </c:pt>
                <c:pt idx="6">
                  <c:v>0</c:v>
                </c:pt>
                <c:pt idx="8">
                  <c:v>0</c:v>
                </c:pt>
              </c:numCache>
            </c:numRef>
          </c:yVal>
          <c:smooth val="0"/>
        </c:ser>
        <c:ser>
          <c:idx val="12"/>
          <c:order val="12"/>
          <c:tx>
            <c:strRef>
              <c:f>[asreported.xlsx]asreported!$A$16</c:f>
              <c:strCache>
                <c:ptCount val="1"/>
                <c:pt idx="0">
                  <c:v>Cash &amp; cash equivalents</c:v>
                </c:pt>
              </c:strCache>
            </c:strRef>
          </c:tx>
          <c:spPr>
            <a:ln w="19050"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trendline>
            <c:spPr>
              <a:ln w="19050" cap="rnd">
                <a:solidFill>
                  <a:schemeClr val="accent1">
                    <a:lumMod val="80000"/>
                    <a:lumOff val="20000"/>
                  </a:schemeClr>
                </a:solidFill>
                <a:prstDash val="sysDot"/>
              </a:ln>
              <a:effectLst/>
            </c:spPr>
            <c:trendlineType val="linear"/>
            <c:dispRSqr val="0"/>
            <c:dispEq val="0"/>
          </c:trendline>
          <c:xVal>
            <c:numRef>
              <c:f>[asreported.xlsx]asreported!$B$1:$K$3</c:f>
            </c:numRef>
          </c:xVal>
          <c:yVal>
            <c:numRef>
              <c:f>[asreported.xlsx]asreported!$B$16:$K$16</c:f>
              <c:numCache>
                <c:formatCode>General</c:formatCode>
                <c:ptCount val="10"/>
                <c:pt idx="0" formatCode="0">
                  <c:v>9465000</c:v>
                </c:pt>
                <c:pt idx="2" formatCode="0">
                  <c:v>7722000</c:v>
                </c:pt>
                <c:pt idx="4" formatCode="0">
                  <c:v>6756000</c:v>
                </c:pt>
                <c:pt idx="6" formatCode="0">
                  <c:v>6867000</c:v>
                </c:pt>
                <c:pt idx="8" formatCode="0">
                  <c:v>8705000</c:v>
                </c:pt>
              </c:numCache>
            </c:numRef>
          </c:yVal>
          <c:smooth val="0"/>
        </c:ser>
        <c:ser>
          <c:idx val="13"/>
          <c:order val="13"/>
          <c:tx>
            <c:strRef>
              <c:f>[asreported.xlsx]asreported!$A$17</c:f>
              <c:strCache>
                <c:ptCount val="1"/>
                <c:pt idx="0">
                  <c:v>Receivables, net</c:v>
                </c:pt>
              </c:strCache>
            </c:strRef>
          </c:tx>
          <c:spPr>
            <a:ln w="19050"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trendline>
            <c:spPr>
              <a:ln w="19050" cap="rnd">
                <a:solidFill>
                  <a:schemeClr val="accent2">
                    <a:lumMod val="80000"/>
                    <a:lumOff val="20000"/>
                  </a:schemeClr>
                </a:solidFill>
                <a:prstDash val="sysDot"/>
              </a:ln>
              <a:effectLst/>
            </c:spPr>
            <c:trendlineType val="linear"/>
            <c:dispRSqr val="0"/>
            <c:dispEq val="0"/>
          </c:trendline>
          <c:xVal>
            <c:numRef>
              <c:f>[asreported.xlsx]asreported!$B$1:$K$3</c:f>
            </c:numRef>
          </c:xVal>
          <c:yVal>
            <c:numRef>
              <c:f>[asreported.xlsx]asreported!$B$17:$K$17</c:f>
              <c:numCache>
                <c:formatCode>General</c:formatCode>
                <c:ptCount val="10"/>
                <c:pt idx="0" formatCode="0">
                  <c:v>6284000</c:v>
                </c:pt>
                <c:pt idx="2" formatCode="0">
                  <c:v>6283000</c:v>
                </c:pt>
                <c:pt idx="4" formatCode="0">
                  <c:v>5614000</c:v>
                </c:pt>
                <c:pt idx="6" formatCode="0">
                  <c:v>5835000</c:v>
                </c:pt>
                <c:pt idx="8" formatCode="0">
                  <c:v>5624000</c:v>
                </c:pt>
              </c:numCache>
            </c:numRef>
          </c:yVal>
          <c:smooth val="0"/>
        </c:ser>
        <c:ser>
          <c:idx val="14"/>
          <c:order val="14"/>
          <c:tx>
            <c:strRef>
              <c:f>[asreported.xlsx]asreported!$A$18</c:f>
              <c:strCache>
                <c:ptCount val="1"/>
                <c:pt idx="0">
                  <c:v>Inventories</c:v>
                </c:pt>
              </c:strCache>
            </c:strRef>
          </c:tx>
          <c:spPr>
            <a:ln w="19050" cap="rnd">
              <a:solidFill>
                <a:schemeClr val="accent3">
                  <a:lumMod val="80000"/>
                  <a:lumOff val="20000"/>
                </a:schemeClr>
              </a:solid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trendline>
            <c:spPr>
              <a:ln w="19050" cap="rnd">
                <a:solidFill>
                  <a:schemeClr val="accent3">
                    <a:lumMod val="80000"/>
                    <a:lumOff val="20000"/>
                  </a:schemeClr>
                </a:solidFill>
                <a:prstDash val="sysDot"/>
              </a:ln>
              <a:effectLst/>
            </c:spPr>
            <c:trendlineType val="linear"/>
            <c:dispRSqr val="0"/>
            <c:dispEq val="0"/>
          </c:trendline>
          <c:xVal>
            <c:numRef>
              <c:f>[asreported.xlsx]asreported!$B$1:$K$3</c:f>
            </c:numRef>
          </c:xVal>
          <c:yVal>
            <c:numRef>
              <c:f>[asreported.xlsx]asreported!$B$18:$K$18</c:f>
              <c:numCache>
                <c:formatCode>General</c:formatCode>
                <c:ptCount val="10"/>
                <c:pt idx="0" formatCode="0">
                  <c:v>44435000</c:v>
                </c:pt>
                <c:pt idx="2" formatCode="0">
                  <c:v>44269000</c:v>
                </c:pt>
                <c:pt idx="4" formatCode="0">
                  <c:v>43783000</c:v>
                </c:pt>
                <c:pt idx="6" formatCode="0">
                  <c:v>43046000</c:v>
                </c:pt>
                <c:pt idx="8" formatCode="0">
                  <c:v>44469000</c:v>
                </c:pt>
              </c:numCache>
            </c:numRef>
          </c:yVal>
          <c:smooth val="0"/>
        </c:ser>
        <c:ser>
          <c:idx val="15"/>
          <c:order val="15"/>
          <c:tx>
            <c:strRef>
              <c:f>[asreported.xlsx]asreported!$A$19</c:f>
              <c:strCache>
                <c:ptCount val="1"/>
                <c:pt idx="0">
                  <c:v>Prepaid expenses &amp; other current assets</c:v>
                </c:pt>
              </c:strCache>
            </c:strRef>
          </c:tx>
          <c:spPr>
            <a:ln w="19050" cap="rnd">
              <a:solidFill>
                <a:schemeClr val="accent4">
                  <a:lumMod val="80000"/>
                  <a:lumOff val="20000"/>
                </a:schemeClr>
              </a:solid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trendline>
            <c:spPr>
              <a:ln w="19050" cap="rnd">
                <a:solidFill>
                  <a:schemeClr val="accent4">
                    <a:lumMod val="80000"/>
                    <a:lumOff val="20000"/>
                  </a:schemeClr>
                </a:solidFill>
                <a:prstDash val="sysDot"/>
              </a:ln>
              <a:effectLst/>
            </c:spPr>
            <c:trendlineType val="linear"/>
            <c:dispRSqr val="0"/>
            <c:dispEq val="0"/>
          </c:trendline>
          <c:xVal>
            <c:numRef>
              <c:f>[asreported.xlsx]asreported!$B$1:$K$3</c:f>
            </c:numRef>
          </c:xVal>
          <c:yVal>
            <c:numRef>
              <c:f>[asreported.xlsx]asreported!$B$19:$K$19</c:f>
              <c:numCache>
                <c:formatCode>General</c:formatCode>
                <c:ptCount val="10"/>
                <c:pt idx="0" formatCode="0">
                  <c:v>1622000</c:v>
                </c:pt>
                <c:pt idx="2" formatCode="0">
                  <c:v>3623000</c:v>
                </c:pt>
                <c:pt idx="4" formatCode="0">
                  <c:v>3511000</c:v>
                </c:pt>
                <c:pt idx="6" formatCode="0">
                  <c:v>1941000</c:v>
                </c:pt>
                <c:pt idx="8" formatCode="0">
                  <c:v>1441000</c:v>
                </c:pt>
              </c:numCache>
            </c:numRef>
          </c:yVal>
          <c:smooth val="0"/>
        </c:ser>
        <c:ser>
          <c:idx val="16"/>
          <c:order val="16"/>
          <c:tx>
            <c:strRef>
              <c:f>[asreported.xlsx]asreported!$A$20</c:f>
              <c:strCache>
                <c:ptCount val="1"/>
                <c:pt idx="0">
                  <c:v>Total current assets</c:v>
                </c:pt>
              </c:strCache>
            </c:strRef>
          </c:tx>
          <c:spPr>
            <a:ln w="19050" cap="rnd">
              <a:solidFill>
                <a:schemeClr val="accent5">
                  <a:lumMod val="80000"/>
                  <a:lumOff val="20000"/>
                </a:schemeClr>
              </a:solid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trendline>
            <c:spPr>
              <a:ln w="19050" cap="rnd">
                <a:solidFill>
                  <a:schemeClr val="accent5">
                    <a:lumMod val="80000"/>
                    <a:lumOff val="20000"/>
                  </a:schemeClr>
                </a:solidFill>
                <a:prstDash val="sysDot"/>
              </a:ln>
              <a:effectLst/>
            </c:spPr>
            <c:trendlineType val="linear"/>
            <c:dispRSqr val="0"/>
            <c:dispEq val="0"/>
          </c:trendline>
          <c:xVal>
            <c:numRef>
              <c:f>[asreported.xlsx]asreported!$B$1:$K$3</c:f>
            </c:numRef>
          </c:xVal>
          <c:yVal>
            <c:numRef>
              <c:f>[asreported.xlsx]asreported!$B$20:$K$20</c:f>
              <c:numCache>
                <c:formatCode>General</c:formatCode>
                <c:ptCount val="10"/>
                <c:pt idx="0" formatCode="0">
                  <c:v>61806000</c:v>
                </c:pt>
                <c:pt idx="2" formatCode="0">
                  <c:v>61897000</c:v>
                </c:pt>
                <c:pt idx="4" formatCode="0">
                  <c:v>59664000</c:v>
                </c:pt>
                <c:pt idx="6" formatCode="0">
                  <c:v>57689000</c:v>
                </c:pt>
                <c:pt idx="8" formatCode="0">
                  <c:v>60239000</c:v>
                </c:pt>
              </c:numCache>
            </c:numRef>
          </c:yVal>
          <c:smooth val="0"/>
        </c:ser>
        <c:ser>
          <c:idx val="17"/>
          <c:order val="17"/>
          <c:tx>
            <c:strRef>
              <c:f>[asreported.xlsx]asreported!$A$21</c:f>
              <c:strCache>
                <c:ptCount val="1"/>
                <c:pt idx="0">
                  <c:v>Land</c:v>
                </c:pt>
              </c:strCache>
            </c:strRef>
          </c:tx>
          <c:spPr>
            <a:ln w="19050" cap="rnd">
              <a:solidFill>
                <a:schemeClr val="accent6">
                  <a:lumMod val="80000"/>
                  <a:lumOff val="20000"/>
                </a:schemeClr>
              </a:solid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trendline>
            <c:spPr>
              <a:ln w="19050" cap="rnd">
                <a:solidFill>
                  <a:schemeClr val="accent6">
                    <a:lumMod val="80000"/>
                    <a:lumOff val="20000"/>
                  </a:schemeClr>
                </a:solidFill>
                <a:prstDash val="sysDot"/>
              </a:ln>
              <a:effectLst/>
            </c:spPr>
            <c:trendlineType val="linear"/>
            <c:dispRSqr val="0"/>
            <c:dispEq val="0"/>
          </c:trendline>
          <c:xVal>
            <c:numRef>
              <c:f>[asreported.xlsx]asreported!$B$1:$K$3</c:f>
            </c:numRef>
          </c:xVal>
          <c:yVal>
            <c:numRef>
              <c:f>[asreported.xlsx]asreported!$B$21:$K$21</c:f>
              <c:numCache>
                <c:formatCode>General</c:formatCode>
                <c:ptCount val="10"/>
                <c:pt idx="0" formatCode="0">
                  <c:v>24619000</c:v>
                </c:pt>
                <c:pt idx="2" formatCode="0">
                  <c:v>24526000</c:v>
                </c:pt>
                <c:pt idx="4" formatCode="0">
                  <c:v>25298000</c:v>
                </c:pt>
                <c:pt idx="6" formatCode="0">
                  <c:v>24801000</c:v>
                </c:pt>
                <c:pt idx="8" formatCode="0">
                  <c:v>25624000</c:v>
                </c:pt>
              </c:numCache>
            </c:numRef>
          </c:yVal>
          <c:smooth val="0"/>
        </c:ser>
        <c:ser>
          <c:idx val="18"/>
          <c:order val="18"/>
          <c:tx>
            <c:strRef>
              <c:f>[asreported.xlsx]asreported!$A$22</c:f>
              <c:strCache>
                <c:ptCount val="1"/>
                <c:pt idx="0">
                  <c:v>Buildings &amp; improvements</c:v>
                </c:pt>
              </c:strCache>
            </c:strRef>
          </c:tx>
          <c:spPr>
            <a:ln w="19050" cap="rnd">
              <a:solidFill>
                <a:schemeClr val="accent1">
                  <a:lumMod val="80000"/>
                </a:schemeClr>
              </a:solidFill>
              <a:round/>
            </a:ln>
            <a:effectLst/>
          </c:spPr>
          <c:marker>
            <c:symbol val="circle"/>
            <c:size val="5"/>
            <c:spPr>
              <a:solidFill>
                <a:schemeClr val="accent1">
                  <a:lumMod val="80000"/>
                </a:schemeClr>
              </a:solidFill>
              <a:ln w="9525">
                <a:solidFill>
                  <a:schemeClr val="accent1">
                    <a:lumMod val="80000"/>
                  </a:schemeClr>
                </a:solidFill>
              </a:ln>
              <a:effectLst/>
            </c:spPr>
          </c:marker>
          <c:trendline>
            <c:spPr>
              <a:ln w="19050" cap="rnd">
                <a:solidFill>
                  <a:schemeClr val="accent1">
                    <a:lumMod val="80000"/>
                  </a:schemeClr>
                </a:solidFill>
                <a:prstDash val="sysDot"/>
              </a:ln>
              <a:effectLst/>
            </c:spPr>
            <c:trendlineType val="linear"/>
            <c:dispRSqr val="0"/>
            <c:dispEq val="0"/>
          </c:trendline>
          <c:xVal>
            <c:numRef>
              <c:f>[asreported.xlsx]asreported!$B$1:$K$3</c:f>
            </c:numRef>
          </c:xVal>
          <c:yVal>
            <c:numRef>
              <c:f>[asreported.xlsx]asreported!$B$22:$K$22</c:f>
              <c:numCache>
                <c:formatCode>General</c:formatCode>
                <c:ptCount val="10"/>
                <c:pt idx="0" formatCode="0">
                  <c:v>105674000</c:v>
                </c:pt>
                <c:pt idx="2" formatCode="0">
                  <c:v>101006000</c:v>
                </c:pt>
                <c:pt idx="4" formatCode="0">
                  <c:v>101155000</c:v>
                </c:pt>
                <c:pt idx="6" formatCode="0">
                  <c:v>98547000</c:v>
                </c:pt>
                <c:pt idx="8" formatCode="0">
                  <c:v>96845000</c:v>
                </c:pt>
              </c:numCache>
            </c:numRef>
          </c:yVal>
          <c:smooth val="0"/>
        </c:ser>
        <c:ser>
          <c:idx val="19"/>
          <c:order val="19"/>
          <c:tx>
            <c:strRef>
              <c:f>[asreported.xlsx]asreported!$A$23</c:f>
              <c:strCache>
                <c:ptCount val="1"/>
                <c:pt idx="0">
                  <c:v>Fixtures &amp; equipment</c:v>
                </c:pt>
              </c:strCache>
            </c:strRef>
          </c:tx>
          <c:spPr>
            <a:ln w="19050" cap="rnd">
              <a:solidFill>
                <a:schemeClr val="accent2">
                  <a:lumMod val="80000"/>
                </a:schemeClr>
              </a:solidFill>
              <a:round/>
            </a:ln>
            <a:effectLst/>
          </c:spPr>
          <c:marker>
            <c:symbol val="circle"/>
            <c:size val="5"/>
            <c:spPr>
              <a:solidFill>
                <a:schemeClr val="accent2">
                  <a:lumMod val="80000"/>
                </a:schemeClr>
              </a:solidFill>
              <a:ln w="9525">
                <a:solidFill>
                  <a:schemeClr val="accent2">
                    <a:lumMod val="80000"/>
                  </a:schemeClr>
                </a:solidFill>
              </a:ln>
              <a:effectLst/>
            </c:spPr>
          </c:marker>
          <c:trendline>
            <c:spPr>
              <a:ln w="19050" cap="rnd">
                <a:solidFill>
                  <a:schemeClr val="accent2">
                    <a:lumMod val="80000"/>
                  </a:schemeClr>
                </a:solidFill>
                <a:prstDash val="sysDot"/>
              </a:ln>
              <a:effectLst/>
            </c:spPr>
            <c:trendlineType val="linear"/>
            <c:dispRSqr val="0"/>
            <c:dispEq val="0"/>
          </c:trendline>
          <c:xVal>
            <c:numRef>
              <c:f>[asreported.xlsx]asreported!$B$1:$K$3</c:f>
            </c:numRef>
          </c:xVal>
          <c:yVal>
            <c:numRef>
              <c:f>[asreported.xlsx]asreported!$B$23:$K$23</c:f>
              <c:numCache>
                <c:formatCode>General</c:formatCode>
                <c:ptCount val="10"/>
                <c:pt idx="0" formatCode="0">
                  <c:v>58607000</c:v>
                </c:pt>
                <c:pt idx="2" formatCode="0">
                  <c:v>54488000</c:v>
                </c:pt>
                <c:pt idx="4" formatCode="0">
                  <c:v>52695000</c:v>
                </c:pt>
                <c:pt idx="6" formatCode="0">
                  <c:v>48998000</c:v>
                </c:pt>
                <c:pt idx="8" formatCode="0">
                  <c:v>47033000</c:v>
                </c:pt>
              </c:numCache>
            </c:numRef>
          </c:yVal>
          <c:smooth val="0"/>
        </c:ser>
        <c:ser>
          <c:idx val="20"/>
          <c:order val="20"/>
          <c:tx>
            <c:strRef>
              <c:f>[asreported.xlsx]asreported!$A$24</c:f>
              <c:strCache>
                <c:ptCount val="1"/>
                <c:pt idx="0">
                  <c:v>Transportation equipment</c:v>
                </c:pt>
              </c:strCache>
            </c:strRef>
          </c:tx>
          <c:spPr>
            <a:ln w="19050" cap="rnd">
              <a:solidFill>
                <a:schemeClr val="accent3">
                  <a:lumMod val="80000"/>
                </a:schemeClr>
              </a:solidFill>
              <a:round/>
            </a:ln>
            <a:effectLst/>
          </c:spPr>
          <c:marker>
            <c:symbol val="circle"/>
            <c:size val="5"/>
            <c:spPr>
              <a:solidFill>
                <a:schemeClr val="accent3">
                  <a:lumMod val="80000"/>
                </a:schemeClr>
              </a:solidFill>
              <a:ln w="9525">
                <a:solidFill>
                  <a:schemeClr val="accent3">
                    <a:lumMod val="80000"/>
                  </a:schemeClr>
                </a:solidFill>
              </a:ln>
              <a:effectLst/>
            </c:spPr>
          </c:marker>
          <c:trendline>
            <c:spPr>
              <a:ln w="19050" cap="rnd">
                <a:solidFill>
                  <a:schemeClr val="accent3">
                    <a:lumMod val="80000"/>
                  </a:schemeClr>
                </a:solidFill>
                <a:prstDash val="sysDot"/>
              </a:ln>
              <a:effectLst/>
            </c:spPr>
            <c:trendlineType val="linear"/>
            <c:dispRSqr val="0"/>
            <c:dispEq val="0"/>
          </c:trendline>
          <c:xVal>
            <c:numRef>
              <c:f>[asreported.xlsx]asreported!$B$1:$K$3</c:f>
            </c:numRef>
          </c:xVal>
          <c:yVal>
            <c:numRef>
              <c:f>[asreported.xlsx]asreported!$B$24:$K$24</c:f>
              <c:numCache>
                <c:formatCode>General</c:formatCode>
                <c:ptCount val="10"/>
                <c:pt idx="0" formatCode="0">
                  <c:v>2377000</c:v>
                </c:pt>
                <c:pt idx="2" formatCode="0">
                  <c:v>2316000</c:v>
                </c:pt>
                <c:pt idx="4" formatCode="0">
                  <c:v>2387000</c:v>
                </c:pt>
                <c:pt idx="6" formatCode="0">
                  <c:v>2845000</c:v>
                </c:pt>
                <c:pt idx="8" formatCode="0">
                  <c:v>2917000</c:v>
                </c:pt>
              </c:numCache>
            </c:numRef>
          </c:yVal>
          <c:smooth val="0"/>
        </c:ser>
        <c:ser>
          <c:idx val="21"/>
          <c:order val="21"/>
          <c:tx>
            <c:strRef>
              <c:f>[asreported.xlsx]asreported!$A$25</c:f>
              <c:strCache>
                <c:ptCount val="1"/>
                <c:pt idx="0">
                  <c:v>Construction in progress</c:v>
                </c:pt>
              </c:strCache>
            </c:strRef>
          </c:tx>
          <c:spPr>
            <a:ln w="19050" cap="rnd">
              <a:solidFill>
                <a:schemeClr val="accent4">
                  <a:lumMod val="80000"/>
                </a:schemeClr>
              </a:solidFill>
              <a:round/>
            </a:ln>
            <a:effectLst/>
          </c:spPr>
          <c:marker>
            <c:symbol val="circle"/>
            <c:size val="5"/>
            <c:spPr>
              <a:solidFill>
                <a:schemeClr val="accent4">
                  <a:lumMod val="80000"/>
                </a:schemeClr>
              </a:solidFill>
              <a:ln w="9525">
                <a:solidFill>
                  <a:schemeClr val="accent4">
                    <a:lumMod val="80000"/>
                  </a:schemeClr>
                </a:solidFill>
              </a:ln>
              <a:effectLst/>
            </c:spPr>
          </c:marker>
          <c:trendline>
            <c:spPr>
              <a:ln w="19050" cap="rnd">
                <a:solidFill>
                  <a:schemeClr val="accent4">
                    <a:lumMod val="80000"/>
                  </a:schemeClr>
                </a:solidFill>
                <a:prstDash val="sysDot"/>
              </a:ln>
              <a:effectLst/>
            </c:spPr>
            <c:trendlineType val="linear"/>
            <c:dispRSqr val="0"/>
            <c:dispEq val="0"/>
          </c:trendline>
          <c:xVal>
            <c:numRef>
              <c:f>[asreported.xlsx]asreported!$B$1:$K$3</c:f>
            </c:numRef>
          </c:xVal>
          <c:yVal>
            <c:numRef>
              <c:f>[asreported.xlsx]asreported!$B$25:$K$25</c:f>
              <c:numCache>
                <c:formatCode>General</c:formatCode>
                <c:ptCount val="10"/>
                <c:pt idx="0" formatCode="0">
                  <c:v>3751000</c:v>
                </c:pt>
                <c:pt idx="2" formatCode="0">
                  <c:v>3474000</c:v>
                </c:pt>
                <c:pt idx="4" formatCode="0">
                  <c:v>3619000</c:v>
                </c:pt>
                <c:pt idx="6" formatCode="0">
                  <c:v>4301000</c:v>
                </c:pt>
                <c:pt idx="8" formatCode="0">
                  <c:v>4539000</c:v>
                </c:pt>
              </c:numCache>
            </c:numRef>
          </c:yVal>
          <c:smooth val="0"/>
        </c:ser>
        <c:ser>
          <c:idx val="22"/>
          <c:order val="22"/>
          <c:tx>
            <c:strRef>
              <c:f>[asreported.xlsx]asreported!$A$26</c:f>
              <c:strCache>
                <c:ptCount val="1"/>
                <c:pt idx="0">
                  <c:v>Property &amp; equipment, gross</c:v>
                </c:pt>
              </c:strCache>
            </c:strRef>
          </c:tx>
          <c:spPr>
            <a:ln w="19050" cap="rnd">
              <a:solidFill>
                <a:schemeClr val="accent5">
                  <a:lumMod val="80000"/>
                </a:schemeClr>
              </a:solidFill>
              <a:round/>
            </a:ln>
            <a:effectLst/>
          </c:spPr>
          <c:marker>
            <c:symbol val="circle"/>
            <c:size val="5"/>
            <c:spPr>
              <a:solidFill>
                <a:schemeClr val="accent5">
                  <a:lumMod val="80000"/>
                </a:schemeClr>
              </a:solidFill>
              <a:ln w="9525">
                <a:solidFill>
                  <a:schemeClr val="accent5">
                    <a:lumMod val="80000"/>
                  </a:schemeClr>
                </a:solidFill>
              </a:ln>
              <a:effectLst/>
            </c:spPr>
          </c:marker>
          <c:trendline>
            <c:spPr>
              <a:ln w="19050" cap="rnd">
                <a:solidFill>
                  <a:schemeClr val="accent5">
                    <a:lumMod val="80000"/>
                  </a:schemeClr>
                </a:solidFill>
                <a:prstDash val="sysDot"/>
              </a:ln>
              <a:effectLst/>
            </c:spPr>
            <c:trendlineType val="linear"/>
            <c:dispRSqr val="0"/>
            <c:dispEq val="0"/>
          </c:trendline>
          <c:xVal>
            <c:numRef>
              <c:f>[asreported.xlsx]asreported!$B$1:$K$3</c:f>
            </c:numRef>
          </c:xVal>
          <c:yVal>
            <c:numRef>
              <c:f>[asreported.xlsx]asreported!$B$26:$K$26</c:f>
              <c:numCache>
                <c:formatCode>General</c:formatCode>
                <c:ptCount val="10"/>
                <c:pt idx="0" formatCode="0">
                  <c:v>195028000</c:v>
                </c:pt>
                <c:pt idx="2" formatCode="0">
                  <c:v>185810000</c:v>
                </c:pt>
                <c:pt idx="4" formatCode="0">
                  <c:v>185154000</c:v>
                </c:pt>
                <c:pt idx="6" formatCode="0">
                  <c:v>179492000</c:v>
                </c:pt>
                <c:pt idx="8" formatCode="0">
                  <c:v>176958000</c:v>
                </c:pt>
              </c:numCache>
            </c:numRef>
          </c:yVal>
          <c:smooth val="0"/>
        </c:ser>
        <c:ser>
          <c:idx val="23"/>
          <c:order val="23"/>
          <c:tx>
            <c:strRef>
              <c:f>[asreported.xlsx]asreported!$A$27</c:f>
              <c:strCache>
                <c:ptCount val="1"/>
                <c:pt idx="0">
                  <c:v>Less: accumulated depreciation</c:v>
                </c:pt>
              </c:strCache>
            </c:strRef>
          </c:tx>
          <c:spPr>
            <a:ln w="19050" cap="rnd">
              <a:solidFill>
                <a:schemeClr val="accent6">
                  <a:lumMod val="80000"/>
                </a:schemeClr>
              </a:solidFill>
              <a:round/>
            </a:ln>
            <a:effectLst/>
          </c:spPr>
          <c:marker>
            <c:symbol val="circle"/>
            <c:size val="5"/>
            <c:spPr>
              <a:solidFill>
                <a:schemeClr val="accent6">
                  <a:lumMod val="80000"/>
                </a:schemeClr>
              </a:solidFill>
              <a:ln w="9525">
                <a:solidFill>
                  <a:schemeClr val="accent6">
                    <a:lumMod val="80000"/>
                  </a:schemeClr>
                </a:solidFill>
              </a:ln>
              <a:effectLst/>
            </c:spPr>
          </c:marker>
          <c:trendline>
            <c:spPr>
              <a:ln w="19050" cap="rnd">
                <a:solidFill>
                  <a:schemeClr val="accent6">
                    <a:lumMod val="80000"/>
                  </a:schemeClr>
                </a:solidFill>
                <a:prstDash val="sysDot"/>
              </a:ln>
              <a:effectLst/>
            </c:spPr>
            <c:trendlineType val="linear"/>
            <c:dispRSqr val="0"/>
            <c:dispEq val="0"/>
          </c:trendline>
          <c:xVal>
            <c:numRef>
              <c:f>[asreported.xlsx]asreported!$B$1:$K$3</c:f>
            </c:numRef>
          </c:xVal>
          <c:yVal>
            <c:numRef>
              <c:f>[asreported.xlsx]asreported!$B$27:$K$27</c:f>
              <c:numCache>
                <c:formatCode>General</c:formatCode>
                <c:ptCount val="10"/>
                <c:pt idx="0" formatCode="0">
                  <c:v>89820000</c:v>
                </c:pt>
                <c:pt idx="2" formatCode="0">
                  <c:v>81493000</c:v>
                </c:pt>
                <c:pt idx="4" formatCode="0">
                  <c:v>77479000</c:v>
                </c:pt>
                <c:pt idx="6" formatCode="0">
                  <c:v>71782000</c:v>
                </c:pt>
                <c:pt idx="8" formatCode="0">
                  <c:v>66787000</c:v>
                </c:pt>
              </c:numCache>
            </c:numRef>
          </c:yVal>
          <c:smooth val="0"/>
        </c:ser>
        <c:ser>
          <c:idx val="24"/>
          <c:order val="24"/>
          <c:tx>
            <c:strRef>
              <c:f>[asreported.xlsx]asreported!$A$28</c:f>
              <c:strCache>
                <c:ptCount val="1"/>
                <c:pt idx="0">
                  <c:v>Property &amp; equipment, net</c:v>
                </c:pt>
              </c:strCache>
            </c:strRef>
          </c:tx>
          <c:spPr>
            <a:ln w="19050" cap="rnd">
              <a:solidFill>
                <a:schemeClr val="accent1">
                  <a:lumMod val="60000"/>
                  <a:lumOff val="40000"/>
                </a:schemeClr>
              </a:solidFill>
              <a:round/>
            </a:ln>
            <a:effectLst/>
          </c:spPr>
          <c:marker>
            <c:symbol val="circle"/>
            <c:size val="5"/>
            <c:spPr>
              <a:solidFill>
                <a:schemeClr val="accent1">
                  <a:lumMod val="60000"/>
                  <a:lumOff val="40000"/>
                </a:schemeClr>
              </a:solidFill>
              <a:ln w="9525">
                <a:solidFill>
                  <a:schemeClr val="accent1">
                    <a:lumMod val="60000"/>
                    <a:lumOff val="40000"/>
                  </a:schemeClr>
                </a:solidFill>
              </a:ln>
              <a:effectLst/>
            </c:spPr>
          </c:marker>
          <c:trendline>
            <c:spPr>
              <a:ln w="19050" cap="rnd">
                <a:solidFill>
                  <a:schemeClr val="accent1">
                    <a:lumMod val="60000"/>
                    <a:lumOff val="40000"/>
                  </a:schemeClr>
                </a:solidFill>
                <a:prstDash val="sysDot"/>
              </a:ln>
              <a:effectLst/>
            </c:spPr>
            <c:trendlineType val="linear"/>
            <c:dispRSqr val="0"/>
            <c:dispEq val="0"/>
          </c:trendline>
          <c:xVal>
            <c:numRef>
              <c:f>[asreported.xlsx]asreported!$B$1:$K$3</c:f>
            </c:numRef>
          </c:xVal>
          <c:yVal>
            <c:numRef>
              <c:f>[asreported.xlsx]asreported!$B$28:$K$28</c:f>
              <c:numCache>
                <c:formatCode>General</c:formatCode>
                <c:ptCount val="10"/>
                <c:pt idx="0" formatCode="0">
                  <c:v>105208000</c:v>
                </c:pt>
                <c:pt idx="2" formatCode="0">
                  <c:v>104317000</c:v>
                </c:pt>
                <c:pt idx="4" formatCode="0">
                  <c:v>107675000</c:v>
                </c:pt>
                <c:pt idx="6" formatCode="0">
                  <c:v>107710000</c:v>
                </c:pt>
                <c:pt idx="8" formatCode="0">
                  <c:v>110171000</c:v>
                </c:pt>
              </c:numCache>
            </c:numRef>
          </c:yVal>
          <c:smooth val="0"/>
        </c:ser>
        <c:ser>
          <c:idx val="25"/>
          <c:order val="25"/>
          <c:tx>
            <c:strRef>
              <c:f>[asreported.xlsx]asreported!$A$29</c:f>
              <c:strCache>
                <c:ptCount val="1"/>
                <c:pt idx="0">
                  <c:v>Operating lease right-of-use assets</c:v>
                </c:pt>
              </c:strCache>
            </c:strRef>
          </c:tx>
          <c:spPr>
            <a:ln w="19050" cap="rnd">
              <a:solidFill>
                <a:schemeClr val="accent2">
                  <a:lumMod val="60000"/>
                  <a:lumOff val="40000"/>
                </a:schemeClr>
              </a:solidFill>
              <a:round/>
            </a:ln>
            <a:effectLst/>
          </c:spPr>
          <c:marker>
            <c:symbol val="circle"/>
            <c:size val="5"/>
            <c:spPr>
              <a:solidFill>
                <a:schemeClr val="accent2">
                  <a:lumMod val="60000"/>
                  <a:lumOff val="40000"/>
                </a:schemeClr>
              </a:solidFill>
              <a:ln w="9525">
                <a:solidFill>
                  <a:schemeClr val="accent2">
                    <a:lumMod val="60000"/>
                    <a:lumOff val="40000"/>
                  </a:schemeClr>
                </a:solidFill>
              </a:ln>
              <a:effectLst/>
            </c:spPr>
          </c:marker>
          <c:trendline>
            <c:spPr>
              <a:ln w="19050" cap="rnd">
                <a:solidFill>
                  <a:schemeClr val="accent2">
                    <a:lumMod val="60000"/>
                    <a:lumOff val="40000"/>
                  </a:schemeClr>
                </a:solidFill>
                <a:prstDash val="sysDot"/>
              </a:ln>
              <a:effectLst/>
            </c:spPr>
            <c:trendlineType val="linear"/>
            <c:dispRSqr val="0"/>
            <c:dispEq val="0"/>
          </c:trendline>
          <c:xVal>
            <c:numRef>
              <c:f>[asreported.xlsx]asreported!$B$1:$K$3</c:f>
            </c:numRef>
          </c:xVal>
          <c:yVal>
            <c:numRef>
              <c:f>[asreported.xlsx]asreported!$B$29:$K$29</c:f>
              <c:numCache>
                <c:formatCode>General</c:formatCode>
                <c:ptCount val="10"/>
                <c:pt idx="0" formatCode="0">
                  <c:v>17424000</c:v>
                </c:pt>
                <c:pt idx="2">
                  <c:v>0</c:v>
                </c:pt>
                <c:pt idx="4">
                  <c:v>0</c:v>
                </c:pt>
                <c:pt idx="6">
                  <c:v>0</c:v>
                </c:pt>
                <c:pt idx="8">
                  <c:v>0</c:v>
                </c:pt>
              </c:numCache>
            </c:numRef>
          </c:yVal>
          <c:smooth val="0"/>
        </c:ser>
        <c:ser>
          <c:idx val="26"/>
          <c:order val="26"/>
          <c:tx>
            <c:strRef>
              <c:f>[asreported.xlsx]asreported!$A$30</c:f>
              <c:strCache>
                <c:ptCount val="1"/>
                <c:pt idx="0">
                  <c:v>Finance lease right-of-use assets, net</c:v>
                </c:pt>
              </c:strCache>
            </c:strRef>
          </c:tx>
          <c:spPr>
            <a:ln w="19050" cap="rnd">
              <a:solidFill>
                <a:schemeClr val="accent3">
                  <a:lumMod val="60000"/>
                  <a:lumOff val="40000"/>
                </a:schemeClr>
              </a:solidFill>
              <a:round/>
            </a:ln>
            <a:effectLst/>
          </c:spPr>
          <c:marker>
            <c:symbol val="circle"/>
            <c:size val="5"/>
            <c:spPr>
              <a:solidFill>
                <a:schemeClr val="accent3">
                  <a:lumMod val="60000"/>
                  <a:lumOff val="40000"/>
                </a:schemeClr>
              </a:solidFill>
              <a:ln w="9525">
                <a:solidFill>
                  <a:schemeClr val="accent3">
                    <a:lumMod val="60000"/>
                    <a:lumOff val="40000"/>
                  </a:schemeClr>
                </a:solidFill>
              </a:ln>
              <a:effectLst/>
            </c:spPr>
          </c:marker>
          <c:trendline>
            <c:spPr>
              <a:ln w="19050" cap="rnd">
                <a:solidFill>
                  <a:schemeClr val="accent3">
                    <a:lumMod val="60000"/>
                    <a:lumOff val="40000"/>
                  </a:schemeClr>
                </a:solidFill>
                <a:prstDash val="sysDot"/>
              </a:ln>
              <a:effectLst/>
            </c:spPr>
            <c:trendlineType val="linear"/>
            <c:dispRSqr val="0"/>
            <c:dispEq val="0"/>
          </c:trendline>
          <c:xVal>
            <c:numRef>
              <c:f>[asreported.xlsx]asreported!$B$1:$K$3</c:f>
            </c:numRef>
          </c:xVal>
          <c:yVal>
            <c:numRef>
              <c:f>[asreported.xlsx]asreported!$B$30:$K$30</c:f>
              <c:numCache>
                <c:formatCode>General</c:formatCode>
                <c:ptCount val="10"/>
                <c:pt idx="0" formatCode="0">
                  <c:v>4417000</c:v>
                </c:pt>
                <c:pt idx="2">
                  <c:v>0</c:v>
                </c:pt>
                <c:pt idx="4">
                  <c:v>0</c:v>
                </c:pt>
                <c:pt idx="6">
                  <c:v>0</c:v>
                </c:pt>
                <c:pt idx="8">
                  <c:v>0</c:v>
                </c:pt>
              </c:numCache>
            </c:numRef>
          </c:yVal>
          <c:smooth val="0"/>
        </c:ser>
        <c:ser>
          <c:idx val="27"/>
          <c:order val="27"/>
          <c:tx>
            <c:strRef>
              <c:f>[asreported.xlsx]asreported!$A$31</c:f>
              <c:strCache>
                <c:ptCount val="1"/>
                <c:pt idx="0">
                  <c:v>Property under capital lease &amp; financing obligations</c:v>
                </c:pt>
              </c:strCache>
            </c:strRef>
          </c:tx>
          <c:spPr>
            <a:ln w="19050" cap="rnd">
              <a:solidFill>
                <a:schemeClr val="accent4">
                  <a:lumMod val="60000"/>
                  <a:lumOff val="40000"/>
                </a:schemeClr>
              </a:solidFill>
              <a:round/>
            </a:ln>
            <a:effectLst/>
          </c:spPr>
          <c:marker>
            <c:symbol val="circle"/>
            <c:size val="5"/>
            <c:spPr>
              <a:solidFill>
                <a:schemeClr val="accent4">
                  <a:lumMod val="60000"/>
                  <a:lumOff val="40000"/>
                </a:schemeClr>
              </a:solidFill>
              <a:ln w="9525">
                <a:solidFill>
                  <a:schemeClr val="accent4">
                    <a:lumMod val="60000"/>
                    <a:lumOff val="40000"/>
                  </a:schemeClr>
                </a:solidFill>
              </a:ln>
              <a:effectLst/>
            </c:spPr>
          </c:marker>
          <c:trendline>
            <c:spPr>
              <a:ln w="19050" cap="rnd">
                <a:solidFill>
                  <a:schemeClr val="accent4">
                    <a:lumMod val="60000"/>
                    <a:lumOff val="40000"/>
                  </a:schemeClr>
                </a:solidFill>
                <a:prstDash val="sysDot"/>
              </a:ln>
              <a:effectLst/>
            </c:spPr>
            <c:trendlineType val="linear"/>
            <c:dispRSqr val="0"/>
            <c:dispEq val="0"/>
          </c:trendline>
          <c:xVal>
            <c:numRef>
              <c:f>[asreported.xlsx]asreported!$B$1:$K$3</c:f>
            </c:numRef>
          </c:xVal>
          <c:yVal>
            <c:numRef>
              <c:f>[asreported.xlsx]asreported!$B$31:$K$31</c:f>
              <c:numCache>
                <c:formatCode>General</c:formatCode>
                <c:ptCount val="10"/>
                <c:pt idx="0">
                  <c:v>0</c:v>
                </c:pt>
                <c:pt idx="2" formatCode="0">
                  <c:v>12760000</c:v>
                </c:pt>
                <c:pt idx="4" formatCode="0">
                  <c:v>12703000</c:v>
                </c:pt>
                <c:pt idx="6" formatCode="0">
                  <c:v>11637000</c:v>
                </c:pt>
                <c:pt idx="8" formatCode="0">
                  <c:v>11096000</c:v>
                </c:pt>
              </c:numCache>
            </c:numRef>
          </c:yVal>
          <c:smooth val="0"/>
        </c:ser>
        <c:ser>
          <c:idx val="28"/>
          <c:order val="28"/>
          <c:tx>
            <c:strRef>
              <c:f>[asreported.xlsx]asreported!$A$32</c:f>
              <c:strCache>
                <c:ptCount val="1"/>
                <c:pt idx="0">
                  <c:v>Less: accumulated amortization</c:v>
                </c:pt>
              </c:strCache>
            </c:strRef>
          </c:tx>
          <c:spPr>
            <a:ln w="19050" cap="rnd">
              <a:solidFill>
                <a:schemeClr val="accent5">
                  <a:lumMod val="60000"/>
                  <a:lumOff val="40000"/>
                </a:schemeClr>
              </a:solidFill>
              <a:round/>
            </a:ln>
            <a:effectLst/>
          </c:spPr>
          <c:marker>
            <c:symbol val="circle"/>
            <c:size val="5"/>
            <c:spPr>
              <a:solidFill>
                <a:schemeClr val="accent5">
                  <a:lumMod val="60000"/>
                  <a:lumOff val="40000"/>
                </a:schemeClr>
              </a:solidFill>
              <a:ln w="9525">
                <a:solidFill>
                  <a:schemeClr val="accent5">
                    <a:lumMod val="60000"/>
                    <a:lumOff val="40000"/>
                  </a:schemeClr>
                </a:solidFill>
              </a:ln>
              <a:effectLst/>
            </c:spPr>
          </c:marker>
          <c:trendline>
            <c:spPr>
              <a:ln w="19050" cap="rnd">
                <a:solidFill>
                  <a:schemeClr val="accent5">
                    <a:lumMod val="60000"/>
                    <a:lumOff val="40000"/>
                  </a:schemeClr>
                </a:solidFill>
                <a:prstDash val="sysDot"/>
              </a:ln>
              <a:effectLst/>
            </c:spPr>
            <c:trendlineType val="linear"/>
            <c:dispRSqr val="0"/>
            <c:dispEq val="0"/>
          </c:trendline>
          <c:xVal>
            <c:numRef>
              <c:f>[asreported.xlsx]asreported!$B$1:$K$3</c:f>
            </c:numRef>
          </c:xVal>
          <c:yVal>
            <c:numRef>
              <c:f>[asreported.xlsx]asreported!$B$32:$K$32</c:f>
              <c:numCache>
                <c:formatCode>General</c:formatCode>
                <c:ptCount val="10"/>
                <c:pt idx="0">
                  <c:v>0</c:v>
                </c:pt>
                <c:pt idx="2" formatCode="0">
                  <c:v>5682000</c:v>
                </c:pt>
                <c:pt idx="4" formatCode="0">
                  <c:v>5560000</c:v>
                </c:pt>
                <c:pt idx="6" formatCode="0">
                  <c:v>5169000</c:v>
                </c:pt>
                <c:pt idx="8" formatCode="0">
                  <c:v>4751000</c:v>
                </c:pt>
              </c:numCache>
            </c:numRef>
          </c:yVal>
          <c:smooth val="0"/>
        </c:ser>
        <c:ser>
          <c:idx val="29"/>
          <c:order val="29"/>
          <c:tx>
            <c:strRef>
              <c:f>[asreported.xlsx]asreported!$A$33</c:f>
              <c:strCache>
                <c:ptCount val="1"/>
                <c:pt idx="0">
                  <c:v>Property under capital lease &amp; financing obligations, net</c:v>
                </c:pt>
              </c:strCache>
            </c:strRef>
          </c:tx>
          <c:spPr>
            <a:ln w="19050" cap="rnd">
              <a:solidFill>
                <a:schemeClr val="accent6">
                  <a:lumMod val="60000"/>
                  <a:lumOff val="40000"/>
                </a:schemeClr>
              </a:solidFill>
              <a:round/>
            </a:ln>
            <a:effectLst/>
          </c:spPr>
          <c:marker>
            <c:symbol val="circle"/>
            <c:size val="5"/>
            <c:spPr>
              <a:solidFill>
                <a:schemeClr val="accent6">
                  <a:lumMod val="60000"/>
                  <a:lumOff val="40000"/>
                </a:schemeClr>
              </a:solidFill>
              <a:ln w="9525">
                <a:solidFill>
                  <a:schemeClr val="accent6">
                    <a:lumMod val="60000"/>
                    <a:lumOff val="40000"/>
                  </a:schemeClr>
                </a:solidFill>
              </a:ln>
              <a:effectLst/>
            </c:spPr>
          </c:marker>
          <c:trendline>
            <c:spPr>
              <a:ln w="19050" cap="rnd">
                <a:solidFill>
                  <a:schemeClr val="accent6">
                    <a:lumMod val="60000"/>
                    <a:lumOff val="40000"/>
                  </a:schemeClr>
                </a:solidFill>
                <a:prstDash val="sysDot"/>
              </a:ln>
              <a:effectLst/>
            </c:spPr>
            <c:trendlineType val="linear"/>
            <c:dispRSqr val="0"/>
            <c:dispEq val="0"/>
          </c:trendline>
          <c:xVal>
            <c:numRef>
              <c:f>[asreported.xlsx]asreported!$B$1:$K$3</c:f>
            </c:numRef>
          </c:xVal>
          <c:yVal>
            <c:numRef>
              <c:f>[asreported.xlsx]asreported!$B$33:$K$33</c:f>
              <c:numCache>
                <c:formatCode>General</c:formatCode>
                <c:ptCount val="10"/>
                <c:pt idx="0">
                  <c:v>0</c:v>
                </c:pt>
                <c:pt idx="2" formatCode="0">
                  <c:v>7078000</c:v>
                </c:pt>
                <c:pt idx="4" formatCode="0">
                  <c:v>7143000</c:v>
                </c:pt>
                <c:pt idx="6" formatCode="0">
                  <c:v>6468000</c:v>
                </c:pt>
                <c:pt idx="8" formatCode="0">
                  <c:v>6345000</c:v>
                </c:pt>
              </c:numCache>
            </c:numRef>
          </c:yVal>
          <c:smooth val="0"/>
        </c:ser>
        <c:ser>
          <c:idx val="30"/>
          <c:order val="30"/>
          <c:tx>
            <c:strRef>
              <c:f>[asreported.xlsx]asreported!$A$34</c:f>
              <c:strCache>
                <c:ptCount val="1"/>
                <c:pt idx="0">
                  <c:v>Goodwill</c:v>
                </c:pt>
              </c:strCache>
            </c:strRef>
          </c:tx>
          <c:spPr>
            <a:ln w="19050" cap="rnd">
              <a:solidFill>
                <a:schemeClr val="accent1">
                  <a:lumMod val="50000"/>
                </a:schemeClr>
              </a:solidFill>
              <a:round/>
            </a:ln>
            <a:effectLst/>
          </c:spPr>
          <c:marker>
            <c:symbol val="circle"/>
            <c:size val="5"/>
            <c:spPr>
              <a:solidFill>
                <a:schemeClr val="accent1">
                  <a:lumMod val="50000"/>
                </a:schemeClr>
              </a:solidFill>
              <a:ln w="9525">
                <a:solidFill>
                  <a:schemeClr val="accent1">
                    <a:lumMod val="50000"/>
                  </a:schemeClr>
                </a:solidFill>
              </a:ln>
              <a:effectLst/>
            </c:spPr>
          </c:marker>
          <c:trendline>
            <c:spPr>
              <a:ln w="19050" cap="rnd">
                <a:solidFill>
                  <a:schemeClr val="accent1">
                    <a:lumMod val="50000"/>
                  </a:schemeClr>
                </a:solidFill>
                <a:prstDash val="sysDot"/>
              </a:ln>
              <a:effectLst/>
            </c:spPr>
            <c:trendlineType val="linear"/>
            <c:dispRSqr val="0"/>
            <c:dispEq val="0"/>
          </c:trendline>
          <c:xVal>
            <c:numRef>
              <c:f>[asreported.xlsx]asreported!$B$1:$K$3</c:f>
            </c:numRef>
          </c:xVal>
          <c:yVal>
            <c:numRef>
              <c:f>[asreported.xlsx]asreported!$B$34:$K$34</c:f>
              <c:numCache>
                <c:formatCode>General</c:formatCode>
                <c:ptCount val="10"/>
                <c:pt idx="0" formatCode="0">
                  <c:v>31073000</c:v>
                </c:pt>
                <c:pt idx="2" formatCode="0">
                  <c:v>31181000</c:v>
                </c:pt>
                <c:pt idx="4" formatCode="0">
                  <c:v>18242000</c:v>
                </c:pt>
                <c:pt idx="6" formatCode="0">
                  <c:v>17037000</c:v>
                </c:pt>
                <c:pt idx="8" formatCode="0">
                  <c:v>16695000</c:v>
                </c:pt>
              </c:numCache>
            </c:numRef>
          </c:yVal>
          <c:smooth val="0"/>
        </c:ser>
        <c:ser>
          <c:idx val="31"/>
          <c:order val="31"/>
          <c:tx>
            <c:strRef>
              <c:f>[asreported.xlsx]asreported!$A$35</c:f>
              <c:strCache>
                <c:ptCount val="1"/>
                <c:pt idx="0">
                  <c:v>Other long-term assets</c:v>
                </c:pt>
              </c:strCache>
            </c:strRef>
          </c:tx>
          <c:spPr>
            <a:ln w="19050" cap="rnd">
              <a:solidFill>
                <a:schemeClr val="accent2">
                  <a:lumMod val="50000"/>
                </a:schemeClr>
              </a:solidFill>
              <a:round/>
            </a:ln>
            <a:effectLst/>
          </c:spPr>
          <c:marker>
            <c:symbol val="circle"/>
            <c:size val="5"/>
            <c:spPr>
              <a:solidFill>
                <a:schemeClr val="accent2">
                  <a:lumMod val="50000"/>
                </a:schemeClr>
              </a:solidFill>
              <a:ln w="9525">
                <a:solidFill>
                  <a:schemeClr val="accent2">
                    <a:lumMod val="50000"/>
                  </a:schemeClr>
                </a:solidFill>
              </a:ln>
              <a:effectLst/>
            </c:spPr>
          </c:marker>
          <c:trendline>
            <c:spPr>
              <a:ln w="19050" cap="rnd">
                <a:solidFill>
                  <a:schemeClr val="accent2">
                    <a:lumMod val="50000"/>
                  </a:schemeClr>
                </a:solidFill>
                <a:prstDash val="sysDot"/>
              </a:ln>
              <a:effectLst/>
            </c:spPr>
            <c:trendlineType val="linear"/>
            <c:dispRSqr val="0"/>
            <c:dispEq val="0"/>
          </c:trendline>
          <c:xVal>
            <c:numRef>
              <c:f>[asreported.xlsx]asreported!$B$1:$K$3</c:f>
            </c:numRef>
          </c:xVal>
          <c:yVal>
            <c:numRef>
              <c:f>[asreported.xlsx]asreported!$B$35:$K$35</c:f>
              <c:numCache>
                <c:formatCode>General</c:formatCode>
                <c:ptCount val="10"/>
                <c:pt idx="0" formatCode="0">
                  <c:v>16567000</c:v>
                </c:pt>
                <c:pt idx="2" formatCode="0">
                  <c:v>14822000</c:v>
                </c:pt>
                <c:pt idx="4">
                  <c:v>0</c:v>
                </c:pt>
                <c:pt idx="6">
                  <c:v>0</c:v>
                </c:pt>
                <c:pt idx="8">
                  <c:v>0</c:v>
                </c:pt>
              </c:numCache>
            </c:numRef>
          </c:yVal>
          <c:smooth val="0"/>
        </c:ser>
        <c:ser>
          <c:idx val="32"/>
          <c:order val="32"/>
          <c:tx>
            <c:strRef>
              <c:f>[asreported.xlsx]asreported!$A$36</c:f>
              <c:strCache>
                <c:ptCount val="1"/>
                <c:pt idx="0">
                  <c:v>Other assets &amp; deferred charges</c:v>
                </c:pt>
              </c:strCache>
            </c:strRef>
          </c:tx>
          <c:spPr>
            <a:ln w="19050" cap="rnd">
              <a:solidFill>
                <a:schemeClr val="accent3">
                  <a:lumMod val="50000"/>
                </a:schemeClr>
              </a:solidFill>
              <a:round/>
            </a:ln>
            <a:effectLst/>
          </c:spPr>
          <c:marker>
            <c:symbol val="circle"/>
            <c:size val="5"/>
            <c:spPr>
              <a:solidFill>
                <a:schemeClr val="accent3">
                  <a:lumMod val="50000"/>
                </a:schemeClr>
              </a:solidFill>
              <a:ln w="9525">
                <a:solidFill>
                  <a:schemeClr val="accent3">
                    <a:lumMod val="50000"/>
                  </a:schemeClr>
                </a:solidFill>
              </a:ln>
              <a:effectLst/>
            </c:spPr>
          </c:marker>
          <c:trendline>
            <c:spPr>
              <a:ln w="19050" cap="rnd">
                <a:solidFill>
                  <a:schemeClr val="accent3">
                    <a:lumMod val="50000"/>
                  </a:schemeClr>
                </a:solidFill>
                <a:prstDash val="sysDot"/>
              </a:ln>
              <a:effectLst/>
            </c:spPr>
            <c:trendlineType val="linear"/>
            <c:dispRSqr val="0"/>
            <c:dispEq val="0"/>
          </c:trendline>
          <c:xVal>
            <c:numRef>
              <c:f>[asreported.xlsx]asreported!$B$1:$K$3</c:f>
            </c:numRef>
          </c:xVal>
          <c:yVal>
            <c:numRef>
              <c:f>[asreported.xlsx]asreported!$B$36:$K$36</c:f>
              <c:numCache>
                <c:formatCode>General</c:formatCode>
                <c:ptCount val="10"/>
                <c:pt idx="0">
                  <c:v>0</c:v>
                </c:pt>
                <c:pt idx="2">
                  <c:v>0</c:v>
                </c:pt>
                <c:pt idx="4" formatCode="0">
                  <c:v>11798000</c:v>
                </c:pt>
                <c:pt idx="6" formatCode="0">
                  <c:v>9921000</c:v>
                </c:pt>
                <c:pt idx="8" formatCode="0">
                  <c:v>6131000</c:v>
                </c:pt>
              </c:numCache>
            </c:numRef>
          </c:yVal>
          <c:smooth val="0"/>
        </c:ser>
        <c:ser>
          <c:idx val="33"/>
          <c:order val="33"/>
          <c:tx>
            <c:strRef>
              <c:f>[asreported.xlsx]asreported!$A$37</c:f>
              <c:strCache>
                <c:ptCount val="1"/>
                <c:pt idx="0">
                  <c:v>Total assets</c:v>
                </c:pt>
              </c:strCache>
            </c:strRef>
          </c:tx>
          <c:spPr>
            <a:ln w="19050" cap="rnd">
              <a:solidFill>
                <a:schemeClr val="accent4">
                  <a:lumMod val="50000"/>
                </a:schemeClr>
              </a:solidFill>
              <a:round/>
            </a:ln>
            <a:effectLst/>
          </c:spPr>
          <c:marker>
            <c:symbol val="circle"/>
            <c:size val="5"/>
            <c:spPr>
              <a:solidFill>
                <a:schemeClr val="accent4">
                  <a:lumMod val="50000"/>
                </a:schemeClr>
              </a:solidFill>
              <a:ln w="9525">
                <a:solidFill>
                  <a:schemeClr val="accent4">
                    <a:lumMod val="50000"/>
                  </a:schemeClr>
                </a:solidFill>
              </a:ln>
              <a:effectLst/>
            </c:spPr>
          </c:marker>
          <c:trendline>
            <c:spPr>
              <a:ln w="19050" cap="rnd">
                <a:solidFill>
                  <a:schemeClr val="accent4">
                    <a:lumMod val="50000"/>
                  </a:schemeClr>
                </a:solidFill>
                <a:prstDash val="sysDot"/>
              </a:ln>
              <a:effectLst/>
            </c:spPr>
            <c:trendlineType val="linear"/>
            <c:dispRSqr val="0"/>
            <c:dispEq val="0"/>
          </c:trendline>
          <c:xVal>
            <c:numRef>
              <c:f>[asreported.xlsx]asreported!$B$1:$K$3</c:f>
            </c:numRef>
          </c:xVal>
          <c:yVal>
            <c:numRef>
              <c:f>[asreported.xlsx]asreported!$B$37:$K$37</c:f>
              <c:numCache>
                <c:formatCode>General</c:formatCode>
                <c:ptCount val="10"/>
                <c:pt idx="0" formatCode="0">
                  <c:v>236495000</c:v>
                </c:pt>
                <c:pt idx="2" formatCode="0">
                  <c:v>219295000</c:v>
                </c:pt>
                <c:pt idx="4" formatCode="0">
                  <c:v>204522000</c:v>
                </c:pt>
                <c:pt idx="6" formatCode="0">
                  <c:v>198825000</c:v>
                </c:pt>
                <c:pt idx="8" formatCode="0">
                  <c:v>199581000</c:v>
                </c:pt>
              </c:numCache>
            </c:numRef>
          </c:yVal>
          <c:smooth val="0"/>
        </c:ser>
        <c:ser>
          <c:idx val="34"/>
          <c:order val="34"/>
          <c:tx>
            <c:strRef>
              <c:f>[asreported.xlsx]asreported!$A$38</c:f>
              <c:strCache>
                <c:ptCount val="1"/>
                <c:pt idx="0">
                  <c:v>Short-term borrowings</c:v>
                </c:pt>
              </c:strCache>
            </c:strRef>
          </c:tx>
          <c:spPr>
            <a:ln w="19050" cap="rnd">
              <a:solidFill>
                <a:schemeClr val="accent5">
                  <a:lumMod val="50000"/>
                </a:schemeClr>
              </a:solidFill>
              <a:round/>
            </a:ln>
            <a:effectLst/>
          </c:spPr>
          <c:marker>
            <c:symbol val="circle"/>
            <c:size val="5"/>
            <c:spPr>
              <a:solidFill>
                <a:schemeClr val="accent5">
                  <a:lumMod val="50000"/>
                </a:schemeClr>
              </a:solidFill>
              <a:ln w="9525">
                <a:solidFill>
                  <a:schemeClr val="accent5">
                    <a:lumMod val="50000"/>
                  </a:schemeClr>
                </a:solidFill>
              </a:ln>
              <a:effectLst/>
            </c:spPr>
          </c:marker>
          <c:trendline>
            <c:spPr>
              <a:ln w="19050" cap="rnd">
                <a:solidFill>
                  <a:schemeClr val="accent5">
                    <a:lumMod val="50000"/>
                  </a:schemeClr>
                </a:solidFill>
                <a:prstDash val="sysDot"/>
              </a:ln>
              <a:effectLst/>
            </c:spPr>
            <c:trendlineType val="linear"/>
            <c:dispRSqr val="0"/>
            <c:dispEq val="0"/>
          </c:trendline>
          <c:xVal>
            <c:numRef>
              <c:f>[asreported.xlsx]asreported!$B$1:$K$3</c:f>
            </c:numRef>
          </c:xVal>
          <c:yVal>
            <c:numRef>
              <c:f>[asreported.xlsx]asreported!$B$38:$K$38</c:f>
              <c:numCache>
                <c:formatCode>General</c:formatCode>
                <c:ptCount val="10"/>
                <c:pt idx="0" formatCode="0">
                  <c:v>575000</c:v>
                </c:pt>
                <c:pt idx="2" formatCode="0">
                  <c:v>5225000</c:v>
                </c:pt>
                <c:pt idx="4" formatCode="0">
                  <c:v>5257000</c:v>
                </c:pt>
                <c:pt idx="6" formatCode="0">
                  <c:v>1099000</c:v>
                </c:pt>
                <c:pt idx="8" formatCode="0">
                  <c:v>2708000</c:v>
                </c:pt>
              </c:numCache>
            </c:numRef>
          </c:yVal>
          <c:smooth val="0"/>
        </c:ser>
        <c:ser>
          <c:idx val="35"/>
          <c:order val="35"/>
          <c:tx>
            <c:strRef>
              <c:f>[asreported.xlsx]asreported!$A$39</c:f>
              <c:strCache>
                <c:ptCount val="1"/>
                <c:pt idx="0">
                  <c:v>Accounts payable</c:v>
                </c:pt>
              </c:strCache>
            </c:strRef>
          </c:tx>
          <c:spPr>
            <a:ln w="19050" cap="rnd">
              <a:solidFill>
                <a:schemeClr val="accent6">
                  <a:lumMod val="50000"/>
                </a:schemeClr>
              </a:solidFill>
              <a:round/>
            </a:ln>
            <a:effectLst/>
          </c:spPr>
          <c:marker>
            <c:symbol val="circle"/>
            <c:size val="5"/>
            <c:spPr>
              <a:solidFill>
                <a:schemeClr val="accent6">
                  <a:lumMod val="50000"/>
                </a:schemeClr>
              </a:solidFill>
              <a:ln w="9525">
                <a:solidFill>
                  <a:schemeClr val="accent6">
                    <a:lumMod val="50000"/>
                  </a:schemeClr>
                </a:solidFill>
              </a:ln>
              <a:effectLst/>
            </c:spPr>
          </c:marker>
          <c:trendline>
            <c:spPr>
              <a:ln w="19050" cap="rnd">
                <a:solidFill>
                  <a:schemeClr val="accent6">
                    <a:lumMod val="50000"/>
                  </a:schemeClr>
                </a:solidFill>
                <a:prstDash val="sysDot"/>
              </a:ln>
              <a:effectLst/>
            </c:spPr>
            <c:trendlineType val="linear"/>
            <c:dispRSqr val="0"/>
            <c:dispEq val="0"/>
          </c:trendline>
          <c:xVal>
            <c:numRef>
              <c:f>[asreported.xlsx]asreported!$B$1:$K$3</c:f>
            </c:numRef>
          </c:xVal>
          <c:yVal>
            <c:numRef>
              <c:f>[asreported.xlsx]asreported!$B$39:$K$39</c:f>
              <c:numCache>
                <c:formatCode>General</c:formatCode>
                <c:ptCount val="10"/>
                <c:pt idx="0" formatCode="0">
                  <c:v>46973000</c:v>
                </c:pt>
                <c:pt idx="2" formatCode="0">
                  <c:v>47060000</c:v>
                </c:pt>
                <c:pt idx="4" formatCode="0">
                  <c:v>46092000</c:v>
                </c:pt>
                <c:pt idx="6" formatCode="0">
                  <c:v>41433000</c:v>
                </c:pt>
                <c:pt idx="8" formatCode="0">
                  <c:v>38487000</c:v>
                </c:pt>
              </c:numCache>
            </c:numRef>
          </c:yVal>
          <c:smooth val="0"/>
        </c:ser>
        <c:ser>
          <c:idx val="36"/>
          <c:order val="36"/>
          <c:tx>
            <c:strRef>
              <c:f>[asreported.xlsx]asreported!$A$40</c:f>
              <c:strCache>
                <c:ptCount val="1"/>
                <c:pt idx="0">
                  <c:v>Accrued wages &amp; benefits</c:v>
                </c:pt>
              </c:strCache>
            </c:strRef>
          </c:tx>
          <c:spPr>
            <a:ln w="19050" cap="rnd">
              <a:solidFill>
                <a:schemeClr val="accent1">
                  <a:lumMod val="70000"/>
                  <a:lumOff val="30000"/>
                </a:schemeClr>
              </a:solidFill>
              <a:round/>
            </a:ln>
            <a:effectLst/>
          </c:spPr>
          <c:marker>
            <c:symbol val="circle"/>
            <c:size val="5"/>
            <c:spPr>
              <a:solidFill>
                <a:schemeClr val="accent1">
                  <a:lumMod val="70000"/>
                  <a:lumOff val="30000"/>
                </a:schemeClr>
              </a:solidFill>
              <a:ln w="9525">
                <a:solidFill>
                  <a:schemeClr val="accent1">
                    <a:lumMod val="70000"/>
                    <a:lumOff val="30000"/>
                  </a:schemeClr>
                </a:solidFill>
              </a:ln>
              <a:effectLst/>
            </c:spPr>
          </c:marker>
          <c:trendline>
            <c:spPr>
              <a:ln w="19050" cap="rnd">
                <a:solidFill>
                  <a:schemeClr val="accent1">
                    <a:lumMod val="70000"/>
                    <a:lumOff val="30000"/>
                  </a:schemeClr>
                </a:solidFill>
                <a:prstDash val="sysDot"/>
              </a:ln>
              <a:effectLst/>
            </c:spPr>
            <c:trendlineType val="linear"/>
            <c:dispRSqr val="0"/>
            <c:dispEq val="0"/>
          </c:trendline>
          <c:xVal>
            <c:numRef>
              <c:f>[asreported.xlsx]asreported!$B$1:$K$3</c:f>
            </c:numRef>
          </c:xVal>
          <c:yVal>
            <c:numRef>
              <c:f>[asreported.xlsx]asreported!$B$40:$K$40</c:f>
              <c:numCache>
                <c:formatCode>General</c:formatCode>
                <c:ptCount val="10"/>
                <c:pt idx="0" formatCode="0">
                  <c:v>6093000</c:v>
                </c:pt>
                <c:pt idx="2" formatCode="0">
                  <c:v>6504000</c:v>
                </c:pt>
                <c:pt idx="4" formatCode="0">
                  <c:v>6998000</c:v>
                </c:pt>
                <c:pt idx="6" formatCode="0">
                  <c:v>6105000</c:v>
                </c:pt>
                <c:pt idx="8" formatCode="0">
                  <c:v>5814000</c:v>
                </c:pt>
              </c:numCache>
            </c:numRef>
          </c:yVal>
          <c:smooth val="0"/>
        </c:ser>
        <c:ser>
          <c:idx val="37"/>
          <c:order val="37"/>
          <c:tx>
            <c:strRef>
              <c:f>[asreported.xlsx]asreported!$A$41</c:f>
              <c:strCache>
                <c:ptCount val="1"/>
                <c:pt idx="0">
                  <c:v>Self-insurance</c:v>
                </c:pt>
              </c:strCache>
            </c:strRef>
          </c:tx>
          <c:spPr>
            <a:ln w="19050" cap="rnd">
              <a:solidFill>
                <a:schemeClr val="accent2">
                  <a:lumMod val="70000"/>
                  <a:lumOff val="30000"/>
                </a:schemeClr>
              </a:solidFill>
              <a:round/>
            </a:ln>
            <a:effectLst/>
          </c:spPr>
          <c:marker>
            <c:symbol val="circle"/>
            <c:size val="5"/>
            <c:spPr>
              <a:solidFill>
                <a:schemeClr val="accent2">
                  <a:lumMod val="70000"/>
                  <a:lumOff val="30000"/>
                </a:schemeClr>
              </a:solidFill>
              <a:ln w="9525">
                <a:solidFill>
                  <a:schemeClr val="accent2">
                    <a:lumMod val="70000"/>
                    <a:lumOff val="30000"/>
                  </a:schemeClr>
                </a:solidFill>
              </a:ln>
              <a:effectLst/>
            </c:spPr>
          </c:marker>
          <c:trendline>
            <c:spPr>
              <a:ln w="19050" cap="rnd">
                <a:solidFill>
                  <a:schemeClr val="accent2">
                    <a:lumMod val="70000"/>
                    <a:lumOff val="30000"/>
                  </a:schemeClr>
                </a:solidFill>
                <a:prstDash val="sysDot"/>
              </a:ln>
              <a:effectLst/>
            </c:spPr>
            <c:trendlineType val="linear"/>
            <c:dispRSqr val="0"/>
            <c:dispEq val="0"/>
          </c:trendline>
          <c:xVal>
            <c:numRef>
              <c:f>[asreported.xlsx]asreported!$B$1:$K$3</c:f>
            </c:numRef>
          </c:xVal>
          <c:yVal>
            <c:numRef>
              <c:f>[asreported.xlsx]asreported!$B$41:$K$41</c:f>
              <c:numCache>
                <c:formatCode>General</c:formatCode>
                <c:ptCount val="10"/>
                <c:pt idx="0" formatCode="0">
                  <c:v>4469000</c:v>
                </c:pt>
                <c:pt idx="2" formatCode="0">
                  <c:v>3979000</c:v>
                </c:pt>
                <c:pt idx="4" formatCode="0">
                  <c:v>3737000</c:v>
                </c:pt>
                <c:pt idx="6" formatCode="0">
                  <c:v>3922000</c:v>
                </c:pt>
                <c:pt idx="8" formatCode="0">
                  <c:v>3414000</c:v>
                </c:pt>
              </c:numCache>
            </c:numRef>
          </c:yVal>
          <c:smooth val="0"/>
        </c:ser>
        <c:ser>
          <c:idx val="38"/>
          <c:order val="38"/>
          <c:tx>
            <c:strRef>
              <c:f>[asreported.xlsx]asreported!$A$42</c:f>
              <c:strCache>
                <c:ptCount val="1"/>
                <c:pt idx="0">
                  <c:v>Accrued non-income taxes</c:v>
                </c:pt>
              </c:strCache>
            </c:strRef>
          </c:tx>
          <c:spPr>
            <a:ln w="19050" cap="rnd">
              <a:solidFill>
                <a:schemeClr val="accent3">
                  <a:lumMod val="70000"/>
                  <a:lumOff val="30000"/>
                </a:schemeClr>
              </a:solidFill>
              <a:round/>
            </a:ln>
            <a:effectLst/>
          </c:spPr>
          <c:marker>
            <c:symbol val="circle"/>
            <c:size val="5"/>
            <c:spPr>
              <a:solidFill>
                <a:schemeClr val="accent3">
                  <a:lumMod val="70000"/>
                  <a:lumOff val="30000"/>
                </a:schemeClr>
              </a:solidFill>
              <a:ln w="9525">
                <a:solidFill>
                  <a:schemeClr val="accent3">
                    <a:lumMod val="70000"/>
                    <a:lumOff val="30000"/>
                  </a:schemeClr>
                </a:solidFill>
              </a:ln>
              <a:effectLst/>
            </c:spPr>
          </c:marker>
          <c:trendline>
            <c:spPr>
              <a:ln w="19050" cap="rnd">
                <a:solidFill>
                  <a:schemeClr val="accent3">
                    <a:lumMod val="70000"/>
                    <a:lumOff val="30000"/>
                  </a:schemeClr>
                </a:solidFill>
                <a:prstDash val="sysDot"/>
              </a:ln>
              <a:effectLst/>
            </c:spPr>
            <c:trendlineType val="linear"/>
            <c:dispRSqr val="0"/>
            <c:dispEq val="0"/>
          </c:trendline>
          <c:xVal>
            <c:numRef>
              <c:f>[asreported.xlsx]asreported!$B$1:$K$3</c:f>
            </c:numRef>
          </c:xVal>
          <c:yVal>
            <c:numRef>
              <c:f>[asreported.xlsx]asreported!$B$42:$K$42</c:f>
              <c:numCache>
                <c:formatCode>General</c:formatCode>
                <c:ptCount val="10"/>
                <c:pt idx="0" formatCode="0">
                  <c:v>3039000</c:v>
                </c:pt>
                <c:pt idx="2" formatCode="0">
                  <c:v>2979000</c:v>
                </c:pt>
                <c:pt idx="4" formatCode="0">
                  <c:v>3073000</c:v>
                </c:pt>
                <c:pt idx="6" formatCode="0">
                  <c:v>2816000</c:v>
                </c:pt>
                <c:pt idx="8" formatCode="0">
                  <c:v>2544000</c:v>
                </c:pt>
              </c:numCache>
            </c:numRef>
          </c:yVal>
          <c:smooth val="0"/>
        </c:ser>
        <c:ser>
          <c:idx val="39"/>
          <c:order val="39"/>
          <c:tx>
            <c:strRef>
              <c:f>[asreported.xlsx]asreported!$A$43</c:f>
              <c:strCache>
                <c:ptCount val="1"/>
                <c:pt idx="0">
                  <c:v>Deferred gift card revenue</c:v>
                </c:pt>
              </c:strCache>
            </c:strRef>
          </c:tx>
          <c:spPr>
            <a:ln w="19050" cap="rnd">
              <a:solidFill>
                <a:schemeClr val="accent4">
                  <a:lumMod val="70000"/>
                  <a:lumOff val="30000"/>
                </a:schemeClr>
              </a:solidFill>
              <a:round/>
            </a:ln>
            <a:effectLst/>
          </c:spPr>
          <c:marker>
            <c:symbol val="circle"/>
            <c:size val="5"/>
            <c:spPr>
              <a:solidFill>
                <a:schemeClr val="accent4">
                  <a:lumMod val="70000"/>
                  <a:lumOff val="30000"/>
                </a:schemeClr>
              </a:solidFill>
              <a:ln w="9525">
                <a:solidFill>
                  <a:schemeClr val="accent4">
                    <a:lumMod val="70000"/>
                    <a:lumOff val="30000"/>
                  </a:schemeClr>
                </a:solidFill>
              </a:ln>
              <a:effectLst/>
            </c:spPr>
          </c:marker>
          <c:trendline>
            <c:spPr>
              <a:ln w="19050" cap="rnd">
                <a:solidFill>
                  <a:schemeClr val="accent4">
                    <a:lumMod val="70000"/>
                    <a:lumOff val="30000"/>
                  </a:schemeClr>
                </a:solidFill>
                <a:prstDash val="sysDot"/>
              </a:ln>
              <a:effectLst/>
            </c:spPr>
            <c:trendlineType val="linear"/>
            <c:dispRSqr val="0"/>
            <c:dispEq val="0"/>
          </c:trendline>
          <c:xVal>
            <c:numRef>
              <c:f>[asreported.xlsx]asreported!$B$1:$K$3</c:f>
            </c:numRef>
          </c:xVal>
          <c:yVal>
            <c:numRef>
              <c:f>[asreported.xlsx]asreported!$B$43:$K$43</c:f>
              <c:numCache>
                <c:formatCode>General</c:formatCode>
                <c:ptCount val="10"/>
                <c:pt idx="0" formatCode="0">
                  <c:v>1990000</c:v>
                </c:pt>
                <c:pt idx="2" formatCode="0">
                  <c:v>1932000</c:v>
                </c:pt>
                <c:pt idx="4" formatCode="0">
                  <c:v>2017000</c:v>
                </c:pt>
                <c:pt idx="6">
                  <c:v>0</c:v>
                </c:pt>
                <c:pt idx="8">
                  <c:v>0</c:v>
                </c:pt>
              </c:numCache>
            </c:numRef>
          </c:yVal>
          <c:smooth val="0"/>
        </c:ser>
        <c:ser>
          <c:idx val="40"/>
          <c:order val="40"/>
          <c:tx>
            <c:strRef>
              <c:f>[asreported.xlsx]asreported!$A$44</c:f>
              <c:strCache>
                <c:ptCount val="1"/>
                <c:pt idx="0">
                  <c:v>Other accrued liabilities</c:v>
                </c:pt>
              </c:strCache>
            </c:strRef>
          </c:tx>
          <c:spPr>
            <a:ln w="19050" cap="rnd">
              <a:solidFill>
                <a:schemeClr val="accent5">
                  <a:lumMod val="70000"/>
                  <a:lumOff val="30000"/>
                </a:schemeClr>
              </a:solidFill>
              <a:round/>
            </a:ln>
            <a:effectLst/>
          </c:spPr>
          <c:marker>
            <c:symbol val="circle"/>
            <c:size val="5"/>
            <c:spPr>
              <a:solidFill>
                <a:schemeClr val="accent5">
                  <a:lumMod val="70000"/>
                  <a:lumOff val="30000"/>
                </a:schemeClr>
              </a:solidFill>
              <a:ln w="9525">
                <a:solidFill>
                  <a:schemeClr val="accent5">
                    <a:lumMod val="70000"/>
                    <a:lumOff val="30000"/>
                  </a:schemeClr>
                </a:solidFill>
              </a:ln>
              <a:effectLst/>
            </c:spPr>
          </c:marker>
          <c:trendline>
            <c:spPr>
              <a:ln w="19050" cap="rnd">
                <a:solidFill>
                  <a:schemeClr val="accent5">
                    <a:lumMod val="70000"/>
                    <a:lumOff val="30000"/>
                  </a:schemeClr>
                </a:solidFill>
                <a:prstDash val="sysDot"/>
              </a:ln>
              <a:effectLst/>
            </c:spPr>
            <c:trendlineType val="linear"/>
            <c:dispRSqr val="0"/>
            <c:dispEq val="0"/>
          </c:trendline>
          <c:xVal>
            <c:numRef>
              <c:f>[asreported.xlsx]asreported!$B$1:$K$3</c:f>
            </c:numRef>
          </c:xVal>
          <c:yVal>
            <c:numRef>
              <c:f>[asreported.xlsx]asreported!$B$44:$K$44</c:f>
              <c:numCache>
                <c:formatCode>General</c:formatCode>
                <c:ptCount val="10"/>
                <c:pt idx="0" formatCode="0">
                  <c:v>6705000</c:v>
                </c:pt>
                <c:pt idx="2" formatCode="0">
                  <c:v>6765000</c:v>
                </c:pt>
                <c:pt idx="4" formatCode="0">
                  <c:v>6297000</c:v>
                </c:pt>
                <c:pt idx="6" formatCode="0">
                  <c:v>7811000</c:v>
                </c:pt>
                <c:pt idx="8" formatCode="0">
                  <c:v>7835000</c:v>
                </c:pt>
              </c:numCache>
            </c:numRef>
          </c:yVal>
          <c:smooth val="0"/>
        </c:ser>
        <c:ser>
          <c:idx val="41"/>
          <c:order val="41"/>
          <c:tx>
            <c:strRef>
              <c:f>[asreported.xlsx]asreported!$A$45</c:f>
              <c:strCache>
                <c:ptCount val="1"/>
                <c:pt idx="0">
                  <c:v>Accrued liabilities</c:v>
                </c:pt>
              </c:strCache>
            </c:strRef>
          </c:tx>
          <c:spPr>
            <a:ln w="19050" cap="rnd">
              <a:solidFill>
                <a:schemeClr val="accent6">
                  <a:lumMod val="70000"/>
                  <a:lumOff val="30000"/>
                </a:schemeClr>
              </a:solidFill>
              <a:round/>
            </a:ln>
            <a:effectLst/>
          </c:spPr>
          <c:marker>
            <c:symbol val="circle"/>
            <c:size val="5"/>
            <c:spPr>
              <a:solidFill>
                <a:schemeClr val="accent6">
                  <a:lumMod val="70000"/>
                  <a:lumOff val="30000"/>
                </a:schemeClr>
              </a:solidFill>
              <a:ln w="9525">
                <a:solidFill>
                  <a:schemeClr val="accent6">
                    <a:lumMod val="70000"/>
                    <a:lumOff val="30000"/>
                  </a:schemeClr>
                </a:solidFill>
              </a:ln>
              <a:effectLst/>
            </c:spPr>
          </c:marker>
          <c:trendline>
            <c:spPr>
              <a:ln w="19050" cap="rnd">
                <a:solidFill>
                  <a:schemeClr val="accent6">
                    <a:lumMod val="70000"/>
                    <a:lumOff val="30000"/>
                  </a:schemeClr>
                </a:solidFill>
                <a:prstDash val="sysDot"/>
              </a:ln>
              <a:effectLst/>
            </c:spPr>
            <c:trendlineType val="linear"/>
            <c:dispRSqr val="0"/>
            <c:dispEq val="0"/>
          </c:trendline>
          <c:xVal>
            <c:numRef>
              <c:f>[asreported.xlsx]asreported!$B$1:$K$3</c:f>
            </c:numRef>
          </c:xVal>
          <c:yVal>
            <c:numRef>
              <c:f>[asreported.xlsx]asreported!$B$45:$K$45</c:f>
              <c:numCache>
                <c:formatCode>General</c:formatCode>
                <c:ptCount val="10"/>
                <c:pt idx="0" formatCode="0">
                  <c:v>22296000</c:v>
                </c:pt>
                <c:pt idx="2" formatCode="0">
                  <c:v>22159000</c:v>
                </c:pt>
                <c:pt idx="4" formatCode="0">
                  <c:v>22122000</c:v>
                </c:pt>
                <c:pt idx="6" formatCode="0">
                  <c:v>20654000</c:v>
                </c:pt>
                <c:pt idx="8" formatCode="0">
                  <c:v>19607000</c:v>
                </c:pt>
              </c:numCache>
            </c:numRef>
          </c:yVal>
          <c:smooth val="0"/>
        </c:ser>
        <c:ser>
          <c:idx val="42"/>
          <c:order val="42"/>
          <c:tx>
            <c:strRef>
              <c:f>[asreported.xlsx]asreported!$A$46</c:f>
              <c:strCache>
                <c:ptCount val="1"/>
                <c:pt idx="0">
                  <c:v>Accrued income taxes</c:v>
                </c:pt>
              </c:strCache>
            </c:strRef>
          </c:tx>
          <c:spPr>
            <a:ln w="19050" cap="rnd">
              <a:solidFill>
                <a:schemeClr val="accent1">
                  <a:lumMod val="70000"/>
                </a:schemeClr>
              </a:solidFill>
              <a:round/>
            </a:ln>
            <a:effectLst/>
          </c:spPr>
          <c:marker>
            <c:symbol val="circle"/>
            <c:size val="5"/>
            <c:spPr>
              <a:solidFill>
                <a:schemeClr val="accent1">
                  <a:lumMod val="70000"/>
                </a:schemeClr>
              </a:solidFill>
              <a:ln w="9525">
                <a:solidFill>
                  <a:schemeClr val="accent1">
                    <a:lumMod val="70000"/>
                  </a:schemeClr>
                </a:solidFill>
              </a:ln>
              <a:effectLst/>
            </c:spPr>
          </c:marker>
          <c:trendline>
            <c:spPr>
              <a:ln w="19050" cap="rnd">
                <a:solidFill>
                  <a:schemeClr val="accent1">
                    <a:lumMod val="70000"/>
                  </a:schemeClr>
                </a:solidFill>
                <a:prstDash val="sysDot"/>
              </a:ln>
              <a:effectLst/>
            </c:spPr>
            <c:trendlineType val="linear"/>
            <c:dispRSqr val="0"/>
            <c:dispEq val="0"/>
          </c:trendline>
          <c:xVal>
            <c:numRef>
              <c:f>[asreported.xlsx]asreported!$B$1:$K$3</c:f>
            </c:numRef>
          </c:xVal>
          <c:yVal>
            <c:numRef>
              <c:f>[asreported.xlsx]asreported!$B$46:$K$46</c:f>
              <c:numCache>
                <c:formatCode>General</c:formatCode>
                <c:ptCount val="10"/>
                <c:pt idx="0" formatCode="0">
                  <c:v>280000</c:v>
                </c:pt>
                <c:pt idx="2" formatCode="0">
                  <c:v>428000</c:v>
                </c:pt>
                <c:pt idx="4" formatCode="0">
                  <c:v>645000</c:v>
                </c:pt>
                <c:pt idx="6" formatCode="0">
                  <c:v>921000</c:v>
                </c:pt>
                <c:pt idx="8" formatCode="0">
                  <c:v>521000</c:v>
                </c:pt>
              </c:numCache>
            </c:numRef>
          </c:yVal>
          <c:smooth val="0"/>
        </c:ser>
        <c:ser>
          <c:idx val="43"/>
          <c:order val="43"/>
          <c:tx>
            <c:strRef>
              <c:f>[asreported.xlsx]asreported!$A$47</c:f>
              <c:strCache>
                <c:ptCount val="1"/>
                <c:pt idx="0">
                  <c:v>Long-term debt due within one year</c:v>
                </c:pt>
              </c:strCache>
            </c:strRef>
          </c:tx>
          <c:spPr>
            <a:ln w="19050" cap="rnd">
              <a:solidFill>
                <a:schemeClr val="accent2">
                  <a:lumMod val="70000"/>
                </a:schemeClr>
              </a:solidFill>
              <a:round/>
            </a:ln>
            <a:effectLst/>
          </c:spPr>
          <c:marker>
            <c:symbol val="circle"/>
            <c:size val="5"/>
            <c:spPr>
              <a:solidFill>
                <a:schemeClr val="accent2">
                  <a:lumMod val="70000"/>
                </a:schemeClr>
              </a:solidFill>
              <a:ln w="9525">
                <a:solidFill>
                  <a:schemeClr val="accent2">
                    <a:lumMod val="70000"/>
                  </a:schemeClr>
                </a:solidFill>
              </a:ln>
              <a:effectLst/>
            </c:spPr>
          </c:marker>
          <c:trendline>
            <c:spPr>
              <a:ln w="19050" cap="rnd">
                <a:solidFill>
                  <a:schemeClr val="accent2">
                    <a:lumMod val="70000"/>
                  </a:schemeClr>
                </a:solidFill>
                <a:prstDash val="sysDot"/>
              </a:ln>
              <a:effectLst/>
            </c:spPr>
            <c:trendlineType val="linear"/>
            <c:dispRSqr val="0"/>
            <c:dispEq val="0"/>
          </c:trendline>
          <c:xVal>
            <c:numRef>
              <c:f>[asreported.xlsx]asreported!$B$1:$K$3</c:f>
            </c:numRef>
          </c:xVal>
          <c:yVal>
            <c:numRef>
              <c:f>[asreported.xlsx]asreported!$B$47:$K$47</c:f>
              <c:numCache>
                <c:formatCode>General</c:formatCode>
                <c:ptCount val="10"/>
                <c:pt idx="0" formatCode="0">
                  <c:v>5362000</c:v>
                </c:pt>
                <c:pt idx="2" formatCode="0">
                  <c:v>1876000</c:v>
                </c:pt>
                <c:pt idx="4" formatCode="0">
                  <c:v>3738000</c:v>
                </c:pt>
                <c:pt idx="6" formatCode="0">
                  <c:v>2256000</c:v>
                </c:pt>
                <c:pt idx="8" formatCode="0">
                  <c:v>2745000</c:v>
                </c:pt>
              </c:numCache>
            </c:numRef>
          </c:yVal>
          <c:smooth val="0"/>
        </c:ser>
        <c:ser>
          <c:idx val="44"/>
          <c:order val="44"/>
          <c:tx>
            <c:strRef>
              <c:f>[asreported.xlsx]asreported!$A$48</c:f>
              <c:strCache>
                <c:ptCount val="1"/>
                <c:pt idx="0">
                  <c:v>Operating lease obligations due within one year</c:v>
                </c:pt>
              </c:strCache>
            </c:strRef>
          </c:tx>
          <c:spPr>
            <a:ln w="19050" cap="rnd">
              <a:solidFill>
                <a:schemeClr val="accent3">
                  <a:lumMod val="70000"/>
                </a:schemeClr>
              </a:solidFill>
              <a:round/>
            </a:ln>
            <a:effectLst/>
          </c:spPr>
          <c:marker>
            <c:symbol val="circle"/>
            <c:size val="5"/>
            <c:spPr>
              <a:solidFill>
                <a:schemeClr val="accent3">
                  <a:lumMod val="70000"/>
                </a:schemeClr>
              </a:solidFill>
              <a:ln w="9525">
                <a:solidFill>
                  <a:schemeClr val="accent3">
                    <a:lumMod val="70000"/>
                  </a:schemeClr>
                </a:solidFill>
              </a:ln>
              <a:effectLst/>
            </c:spPr>
          </c:marker>
          <c:trendline>
            <c:spPr>
              <a:ln w="19050" cap="rnd">
                <a:solidFill>
                  <a:schemeClr val="accent3">
                    <a:lumMod val="70000"/>
                  </a:schemeClr>
                </a:solidFill>
                <a:prstDash val="sysDot"/>
              </a:ln>
              <a:effectLst/>
            </c:spPr>
            <c:trendlineType val="linear"/>
            <c:dispRSqr val="0"/>
            <c:dispEq val="0"/>
          </c:trendline>
          <c:xVal>
            <c:numRef>
              <c:f>[asreported.xlsx]asreported!$B$1:$K$3</c:f>
            </c:numRef>
          </c:xVal>
          <c:yVal>
            <c:numRef>
              <c:f>[asreported.xlsx]asreported!$B$48:$K$48</c:f>
              <c:numCache>
                <c:formatCode>General</c:formatCode>
                <c:ptCount val="10"/>
                <c:pt idx="0" formatCode="0">
                  <c:v>1793000</c:v>
                </c:pt>
                <c:pt idx="2">
                  <c:v>0</c:v>
                </c:pt>
                <c:pt idx="4">
                  <c:v>0</c:v>
                </c:pt>
                <c:pt idx="6">
                  <c:v>0</c:v>
                </c:pt>
                <c:pt idx="8">
                  <c:v>0</c:v>
                </c:pt>
              </c:numCache>
            </c:numRef>
          </c:yVal>
          <c:smooth val="0"/>
        </c:ser>
        <c:ser>
          <c:idx val="45"/>
          <c:order val="45"/>
          <c:tx>
            <c:strRef>
              <c:f>[asreported.xlsx]asreported!$A$49</c:f>
              <c:strCache>
                <c:ptCount val="1"/>
                <c:pt idx="0">
                  <c:v>Finance lease obligations due within one year</c:v>
                </c:pt>
              </c:strCache>
            </c:strRef>
          </c:tx>
          <c:spPr>
            <a:ln w="19050" cap="rnd">
              <a:solidFill>
                <a:schemeClr val="accent4">
                  <a:lumMod val="70000"/>
                </a:schemeClr>
              </a:solidFill>
              <a:round/>
            </a:ln>
            <a:effectLst/>
          </c:spPr>
          <c:marker>
            <c:symbol val="circle"/>
            <c:size val="5"/>
            <c:spPr>
              <a:solidFill>
                <a:schemeClr val="accent4">
                  <a:lumMod val="70000"/>
                </a:schemeClr>
              </a:solidFill>
              <a:ln w="9525">
                <a:solidFill>
                  <a:schemeClr val="accent4">
                    <a:lumMod val="70000"/>
                  </a:schemeClr>
                </a:solidFill>
              </a:ln>
              <a:effectLst/>
            </c:spPr>
          </c:marker>
          <c:trendline>
            <c:spPr>
              <a:ln w="19050" cap="rnd">
                <a:solidFill>
                  <a:schemeClr val="accent4">
                    <a:lumMod val="70000"/>
                  </a:schemeClr>
                </a:solidFill>
                <a:prstDash val="sysDot"/>
              </a:ln>
              <a:effectLst/>
            </c:spPr>
            <c:trendlineType val="linear"/>
            <c:dispRSqr val="0"/>
            <c:dispEq val="0"/>
          </c:trendline>
          <c:xVal>
            <c:numRef>
              <c:f>[asreported.xlsx]asreported!$B$1:$K$3</c:f>
            </c:numRef>
          </c:xVal>
          <c:yVal>
            <c:numRef>
              <c:f>[asreported.xlsx]asreported!$B$49:$K$49</c:f>
              <c:numCache>
                <c:formatCode>General</c:formatCode>
                <c:ptCount val="10"/>
                <c:pt idx="0" formatCode="0">
                  <c:v>511000</c:v>
                </c:pt>
                <c:pt idx="2">
                  <c:v>0</c:v>
                </c:pt>
                <c:pt idx="4">
                  <c:v>0</c:v>
                </c:pt>
                <c:pt idx="6">
                  <c:v>0</c:v>
                </c:pt>
                <c:pt idx="8">
                  <c:v>0</c:v>
                </c:pt>
              </c:numCache>
            </c:numRef>
          </c:yVal>
          <c:smooth val="0"/>
        </c:ser>
        <c:ser>
          <c:idx val="46"/>
          <c:order val="46"/>
          <c:tx>
            <c:strRef>
              <c:f>[asreported.xlsx]asreported!$A$50</c:f>
              <c:strCache>
                <c:ptCount val="1"/>
                <c:pt idx="0">
                  <c:v>Capital lease &amp; financing obligations due within one year</c:v>
                </c:pt>
              </c:strCache>
            </c:strRef>
          </c:tx>
          <c:spPr>
            <a:ln w="19050" cap="rnd">
              <a:solidFill>
                <a:schemeClr val="accent5">
                  <a:lumMod val="70000"/>
                </a:schemeClr>
              </a:solidFill>
              <a:round/>
            </a:ln>
            <a:effectLst/>
          </c:spPr>
          <c:marker>
            <c:symbol val="circle"/>
            <c:size val="5"/>
            <c:spPr>
              <a:solidFill>
                <a:schemeClr val="accent5">
                  <a:lumMod val="70000"/>
                </a:schemeClr>
              </a:solidFill>
              <a:ln w="9525">
                <a:solidFill>
                  <a:schemeClr val="accent5">
                    <a:lumMod val="70000"/>
                  </a:schemeClr>
                </a:solidFill>
              </a:ln>
              <a:effectLst/>
            </c:spPr>
          </c:marker>
          <c:trendline>
            <c:spPr>
              <a:ln w="19050" cap="rnd">
                <a:solidFill>
                  <a:schemeClr val="accent5">
                    <a:lumMod val="70000"/>
                  </a:schemeClr>
                </a:solidFill>
                <a:prstDash val="sysDot"/>
              </a:ln>
              <a:effectLst/>
            </c:spPr>
            <c:trendlineType val="linear"/>
            <c:dispRSqr val="0"/>
            <c:dispEq val="0"/>
          </c:trendline>
          <c:xVal>
            <c:numRef>
              <c:f>[asreported.xlsx]asreported!$B$1:$K$3</c:f>
            </c:numRef>
          </c:xVal>
          <c:yVal>
            <c:numRef>
              <c:f>[asreported.xlsx]asreported!$B$50:$K$50</c:f>
              <c:numCache>
                <c:formatCode>General</c:formatCode>
                <c:ptCount val="10"/>
                <c:pt idx="0">
                  <c:v>0</c:v>
                </c:pt>
                <c:pt idx="2" formatCode="0">
                  <c:v>729000</c:v>
                </c:pt>
                <c:pt idx="4" formatCode="0">
                  <c:v>667000</c:v>
                </c:pt>
                <c:pt idx="6" formatCode="0">
                  <c:v>565000</c:v>
                </c:pt>
                <c:pt idx="8" formatCode="0">
                  <c:v>551000</c:v>
                </c:pt>
              </c:numCache>
            </c:numRef>
          </c:yVal>
          <c:smooth val="0"/>
        </c:ser>
        <c:ser>
          <c:idx val="47"/>
          <c:order val="47"/>
          <c:tx>
            <c:strRef>
              <c:f>[asreported.xlsx]asreported!$A$51</c:f>
              <c:strCache>
                <c:ptCount val="1"/>
                <c:pt idx="0">
                  <c:v>Total current liabilities</c:v>
                </c:pt>
              </c:strCache>
            </c:strRef>
          </c:tx>
          <c:spPr>
            <a:ln w="19050" cap="rnd">
              <a:solidFill>
                <a:schemeClr val="accent6">
                  <a:lumMod val="70000"/>
                </a:schemeClr>
              </a:solidFill>
              <a:round/>
            </a:ln>
            <a:effectLst/>
          </c:spPr>
          <c:marker>
            <c:symbol val="circle"/>
            <c:size val="5"/>
            <c:spPr>
              <a:solidFill>
                <a:schemeClr val="accent6">
                  <a:lumMod val="70000"/>
                </a:schemeClr>
              </a:solidFill>
              <a:ln w="9525">
                <a:solidFill>
                  <a:schemeClr val="accent6">
                    <a:lumMod val="70000"/>
                  </a:schemeClr>
                </a:solidFill>
              </a:ln>
              <a:effectLst/>
            </c:spPr>
          </c:marker>
          <c:trendline>
            <c:spPr>
              <a:ln w="19050" cap="rnd">
                <a:solidFill>
                  <a:schemeClr val="accent6">
                    <a:lumMod val="70000"/>
                  </a:schemeClr>
                </a:solidFill>
                <a:prstDash val="sysDot"/>
              </a:ln>
              <a:effectLst/>
            </c:spPr>
            <c:trendlineType val="linear"/>
            <c:dispRSqr val="0"/>
            <c:dispEq val="0"/>
          </c:trendline>
          <c:xVal>
            <c:numRef>
              <c:f>[asreported.xlsx]asreported!$B$1:$K$3</c:f>
            </c:numRef>
          </c:xVal>
          <c:yVal>
            <c:numRef>
              <c:f>[asreported.xlsx]asreported!$B$51:$K$51</c:f>
              <c:numCache>
                <c:formatCode>General</c:formatCode>
                <c:ptCount val="10"/>
                <c:pt idx="0" formatCode="0">
                  <c:v>77790000</c:v>
                </c:pt>
                <c:pt idx="2" formatCode="0">
                  <c:v>77477000</c:v>
                </c:pt>
                <c:pt idx="4" formatCode="0">
                  <c:v>78521000</c:v>
                </c:pt>
                <c:pt idx="6" formatCode="0">
                  <c:v>66928000</c:v>
                </c:pt>
                <c:pt idx="8" formatCode="0">
                  <c:v>64619000</c:v>
                </c:pt>
              </c:numCache>
            </c:numRef>
          </c:yVal>
          <c:smooth val="0"/>
        </c:ser>
        <c:ser>
          <c:idx val="48"/>
          <c:order val="48"/>
          <c:tx>
            <c:strRef>
              <c:f>[asreported.xlsx]asreported!$A$52</c:f>
              <c:strCache>
                <c:ptCount val="1"/>
                <c:pt idx="0">
                  <c:v>Unsecured debt</c:v>
                </c:pt>
              </c:strCache>
            </c:strRef>
          </c:tx>
          <c:spPr>
            <a:ln w="19050" cap="rnd">
              <a:solidFill>
                <a:schemeClr val="accent1">
                  <a:lumMod val="50000"/>
                  <a:lumOff val="50000"/>
                </a:schemeClr>
              </a:solidFill>
              <a:round/>
            </a:ln>
            <a:effectLst/>
          </c:spPr>
          <c:marker>
            <c:symbol val="circle"/>
            <c:size val="5"/>
            <c:spPr>
              <a:solidFill>
                <a:schemeClr val="accent1">
                  <a:lumMod val="50000"/>
                  <a:lumOff val="50000"/>
                </a:schemeClr>
              </a:solidFill>
              <a:ln w="9525">
                <a:solidFill>
                  <a:schemeClr val="accent1">
                    <a:lumMod val="50000"/>
                    <a:lumOff val="50000"/>
                  </a:schemeClr>
                </a:solidFill>
              </a:ln>
              <a:effectLst/>
            </c:spPr>
          </c:marker>
          <c:trendline>
            <c:spPr>
              <a:ln w="19050" cap="rnd">
                <a:solidFill>
                  <a:schemeClr val="accent1">
                    <a:lumMod val="50000"/>
                    <a:lumOff val="50000"/>
                  </a:schemeClr>
                </a:solidFill>
                <a:prstDash val="sysDot"/>
              </a:ln>
              <a:effectLst/>
            </c:spPr>
            <c:trendlineType val="linear"/>
            <c:dispRSqr val="0"/>
            <c:dispEq val="0"/>
          </c:trendline>
          <c:xVal>
            <c:numRef>
              <c:f>[asreported.xlsx]asreported!$B$1:$K$3</c:f>
            </c:numRef>
          </c:xVal>
          <c:yVal>
            <c:numRef>
              <c:f>[asreported.xlsx]asreported!$B$52:$K$52</c:f>
              <c:numCache>
                <c:formatCode>General</c:formatCode>
                <c:ptCount val="10"/>
                <c:pt idx="0" formatCode="0">
                  <c:v>49180000</c:v>
                </c:pt>
                <c:pt idx="2" formatCode="0">
                  <c:v>45661000</c:v>
                </c:pt>
                <c:pt idx="4" formatCode="0">
                  <c:v>33897000</c:v>
                </c:pt>
                <c:pt idx="6" formatCode="0">
                  <c:v>38132000</c:v>
                </c:pt>
                <c:pt idx="8" formatCode="0">
                  <c:v>40776000</c:v>
                </c:pt>
              </c:numCache>
            </c:numRef>
          </c:yVal>
          <c:smooth val="0"/>
        </c:ser>
        <c:ser>
          <c:idx val="49"/>
          <c:order val="49"/>
          <c:tx>
            <c:strRef>
              <c:f>[asreported.xlsx]asreported!$A$53</c:f>
              <c:strCache>
                <c:ptCount val="1"/>
                <c:pt idx="0">
                  <c:v>Other debt</c:v>
                </c:pt>
              </c:strCache>
            </c:strRef>
          </c:tx>
          <c:spPr>
            <a:ln w="19050" cap="rnd">
              <a:solidFill>
                <a:schemeClr val="accent2">
                  <a:lumMod val="50000"/>
                  <a:lumOff val="50000"/>
                </a:schemeClr>
              </a:solidFill>
              <a:round/>
            </a:ln>
            <a:effectLst/>
          </c:spPr>
          <c:marker>
            <c:symbol val="circle"/>
            <c:size val="5"/>
            <c:spPr>
              <a:solidFill>
                <a:schemeClr val="accent2">
                  <a:lumMod val="50000"/>
                  <a:lumOff val="50000"/>
                </a:schemeClr>
              </a:solidFill>
              <a:ln w="9525">
                <a:solidFill>
                  <a:schemeClr val="accent2">
                    <a:lumMod val="50000"/>
                    <a:lumOff val="50000"/>
                  </a:schemeClr>
                </a:solidFill>
              </a:ln>
              <a:effectLst/>
            </c:spPr>
          </c:marker>
          <c:trendline>
            <c:spPr>
              <a:ln w="19050" cap="rnd">
                <a:solidFill>
                  <a:schemeClr val="accent2">
                    <a:lumMod val="50000"/>
                    <a:lumOff val="50000"/>
                  </a:schemeClr>
                </a:solidFill>
                <a:prstDash val="sysDot"/>
              </a:ln>
              <a:effectLst/>
            </c:spPr>
            <c:trendlineType val="linear"/>
            <c:dispRSqr val="0"/>
            <c:dispEq val="0"/>
          </c:trendline>
          <c:xVal>
            <c:numRef>
              <c:f>[asreported.xlsx]asreported!$B$1:$K$3</c:f>
            </c:numRef>
          </c:xVal>
          <c:yVal>
            <c:numRef>
              <c:f>[asreported.xlsx]asreported!$B$53:$K$53</c:f>
              <c:numCache>
                <c:formatCode>General</c:formatCode>
                <c:ptCount val="10"/>
                <c:pt idx="0" formatCode="0">
                  <c:v>-104000</c:v>
                </c:pt>
                <c:pt idx="2" formatCode="0">
                  <c:v>-265000</c:v>
                </c:pt>
                <c:pt idx="4" formatCode="0">
                  <c:v>-114000</c:v>
                </c:pt>
                <c:pt idx="6" formatCode="0">
                  <c:v>139000</c:v>
                </c:pt>
                <c:pt idx="8" formatCode="0">
                  <c:v>183000</c:v>
                </c:pt>
              </c:numCache>
            </c:numRef>
          </c:yVal>
          <c:smooth val="0"/>
        </c:ser>
        <c:ser>
          <c:idx val="50"/>
          <c:order val="50"/>
          <c:tx>
            <c:strRef>
              <c:f>[asreported.xlsx]asreported!$A$54</c:f>
              <c:strCache>
                <c:ptCount val="1"/>
                <c:pt idx="0">
                  <c:v>Total long-term debt</c:v>
                </c:pt>
              </c:strCache>
            </c:strRef>
          </c:tx>
          <c:spPr>
            <a:ln w="19050" cap="rnd">
              <a:solidFill>
                <a:schemeClr val="accent3">
                  <a:lumMod val="50000"/>
                  <a:lumOff val="50000"/>
                </a:schemeClr>
              </a:solidFill>
              <a:round/>
            </a:ln>
            <a:effectLst/>
          </c:spPr>
          <c:marker>
            <c:symbol val="circle"/>
            <c:size val="5"/>
            <c:spPr>
              <a:solidFill>
                <a:schemeClr val="accent3">
                  <a:lumMod val="50000"/>
                  <a:lumOff val="50000"/>
                </a:schemeClr>
              </a:solidFill>
              <a:ln w="9525">
                <a:solidFill>
                  <a:schemeClr val="accent3">
                    <a:lumMod val="50000"/>
                    <a:lumOff val="50000"/>
                  </a:schemeClr>
                </a:solidFill>
              </a:ln>
              <a:effectLst/>
            </c:spPr>
          </c:marker>
          <c:trendline>
            <c:spPr>
              <a:ln w="19050" cap="rnd">
                <a:solidFill>
                  <a:schemeClr val="accent3">
                    <a:lumMod val="50000"/>
                    <a:lumOff val="50000"/>
                  </a:schemeClr>
                </a:solidFill>
                <a:prstDash val="sysDot"/>
              </a:ln>
              <a:effectLst/>
            </c:spPr>
            <c:trendlineType val="linear"/>
            <c:dispRSqr val="0"/>
            <c:dispEq val="0"/>
          </c:trendline>
          <c:xVal>
            <c:numRef>
              <c:f>[asreported.xlsx]asreported!$B$1:$K$3</c:f>
            </c:numRef>
          </c:xVal>
          <c:yVal>
            <c:numRef>
              <c:f>[asreported.xlsx]asreported!$B$54:$K$54</c:f>
              <c:numCache>
                <c:formatCode>General</c:formatCode>
                <c:ptCount val="10"/>
                <c:pt idx="0" formatCode="0">
                  <c:v>49076000</c:v>
                </c:pt>
                <c:pt idx="2" formatCode="0">
                  <c:v>45396000</c:v>
                </c:pt>
                <c:pt idx="4" formatCode="0">
                  <c:v>33783000</c:v>
                </c:pt>
                <c:pt idx="6" formatCode="0">
                  <c:v>38271000</c:v>
                </c:pt>
                <c:pt idx="8" formatCode="0">
                  <c:v>40959000</c:v>
                </c:pt>
              </c:numCache>
            </c:numRef>
          </c:yVal>
          <c:smooth val="0"/>
        </c:ser>
        <c:ser>
          <c:idx val="51"/>
          <c:order val="51"/>
          <c:tx>
            <c:strRef>
              <c:f>[asreported.xlsx]asreported!$A$55</c:f>
              <c:strCache>
                <c:ptCount val="1"/>
                <c:pt idx="0">
                  <c:v>Less: amounts due within one year</c:v>
                </c:pt>
              </c:strCache>
            </c:strRef>
          </c:tx>
          <c:spPr>
            <a:ln w="19050" cap="rnd">
              <a:solidFill>
                <a:schemeClr val="accent4">
                  <a:lumMod val="50000"/>
                  <a:lumOff val="50000"/>
                </a:schemeClr>
              </a:solidFill>
              <a:round/>
            </a:ln>
            <a:effectLst/>
          </c:spPr>
          <c:marker>
            <c:symbol val="circle"/>
            <c:size val="5"/>
            <c:spPr>
              <a:solidFill>
                <a:schemeClr val="accent4">
                  <a:lumMod val="50000"/>
                  <a:lumOff val="50000"/>
                </a:schemeClr>
              </a:solidFill>
              <a:ln w="9525">
                <a:solidFill>
                  <a:schemeClr val="accent4">
                    <a:lumMod val="50000"/>
                    <a:lumOff val="50000"/>
                  </a:schemeClr>
                </a:solidFill>
              </a:ln>
              <a:effectLst/>
            </c:spPr>
          </c:marker>
          <c:trendline>
            <c:spPr>
              <a:ln w="19050" cap="rnd">
                <a:solidFill>
                  <a:schemeClr val="accent4">
                    <a:lumMod val="50000"/>
                    <a:lumOff val="50000"/>
                  </a:schemeClr>
                </a:solidFill>
                <a:prstDash val="sysDot"/>
              </a:ln>
              <a:effectLst/>
            </c:spPr>
            <c:trendlineType val="linear"/>
            <c:dispRSqr val="0"/>
            <c:dispEq val="0"/>
          </c:trendline>
          <c:xVal>
            <c:numRef>
              <c:f>[asreported.xlsx]asreported!$B$1:$K$3</c:f>
            </c:numRef>
          </c:xVal>
          <c:yVal>
            <c:numRef>
              <c:f>[asreported.xlsx]asreported!$B$55:$K$55</c:f>
              <c:numCache>
                <c:formatCode>General</c:formatCode>
                <c:ptCount val="10"/>
                <c:pt idx="0" formatCode="0">
                  <c:v>5362000</c:v>
                </c:pt>
                <c:pt idx="2" formatCode="0">
                  <c:v>1876000</c:v>
                </c:pt>
                <c:pt idx="4" formatCode="0">
                  <c:v>3738000</c:v>
                </c:pt>
                <c:pt idx="6" formatCode="0">
                  <c:v>2256000</c:v>
                </c:pt>
                <c:pt idx="8" formatCode="0">
                  <c:v>2745000</c:v>
                </c:pt>
              </c:numCache>
            </c:numRef>
          </c:yVal>
          <c:smooth val="0"/>
        </c:ser>
        <c:ser>
          <c:idx val="52"/>
          <c:order val="52"/>
          <c:tx>
            <c:strRef>
              <c:f>[asreported.xlsx]asreported!$A$56</c:f>
              <c:strCache>
                <c:ptCount val="1"/>
                <c:pt idx="0">
                  <c:v>Long-term debt</c:v>
                </c:pt>
              </c:strCache>
            </c:strRef>
          </c:tx>
          <c:spPr>
            <a:ln w="19050" cap="rnd">
              <a:solidFill>
                <a:schemeClr val="accent5">
                  <a:lumMod val="50000"/>
                  <a:lumOff val="50000"/>
                </a:schemeClr>
              </a:solidFill>
              <a:round/>
            </a:ln>
            <a:effectLst/>
          </c:spPr>
          <c:marker>
            <c:symbol val="circle"/>
            <c:size val="5"/>
            <c:spPr>
              <a:solidFill>
                <a:schemeClr val="accent5">
                  <a:lumMod val="50000"/>
                  <a:lumOff val="50000"/>
                </a:schemeClr>
              </a:solidFill>
              <a:ln w="9525">
                <a:solidFill>
                  <a:schemeClr val="accent5">
                    <a:lumMod val="50000"/>
                    <a:lumOff val="50000"/>
                  </a:schemeClr>
                </a:solidFill>
              </a:ln>
              <a:effectLst/>
            </c:spPr>
          </c:marker>
          <c:trendline>
            <c:spPr>
              <a:ln w="19050" cap="rnd">
                <a:solidFill>
                  <a:schemeClr val="accent5">
                    <a:lumMod val="50000"/>
                    <a:lumOff val="50000"/>
                  </a:schemeClr>
                </a:solidFill>
                <a:prstDash val="sysDot"/>
              </a:ln>
              <a:effectLst/>
            </c:spPr>
            <c:trendlineType val="linear"/>
            <c:dispRSqr val="0"/>
            <c:dispEq val="0"/>
          </c:trendline>
          <c:xVal>
            <c:numRef>
              <c:f>[asreported.xlsx]asreported!$B$1:$K$3</c:f>
            </c:numRef>
          </c:xVal>
          <c:yVal>
            <c:numRef>
              <c:f>[asreported.xlsx]asreported!$B$56:$K$56</c:f>
              <c:numCache>
                <c:formatCode>General</c:formatCode>
                <c:ptCount val="10"/>
                <c:pt idx="0" formatCode="0">
                  <c:v>43714000</c:v>
                </c:pt>
                <c:pt idx="2" formatCode="0">
                  <c:v>43520000</c:v>
                </c:pt>
                <c:pt idx="4" formatCode="0">
                  <c:v>30045000</c:v>
                </c:pt>
                <c:pt idx="6" formatCode="0">
                  <c:v>36015000</c:v>
                </c:pt>
                <c:pt idx="8" formatCode="0">
                  <c:v>38214000</c:v>
                </c:pt>
              </c:numCache>
            </c:numRef>
          </c:yVal>
          <c:smooth val="0"/>
        </c:ser>
        <c:ser>
          <c:idx val="53"/>
          <c:order val="53"/>
          <c:tx>
            <c:strRef>
              <c:f>[asreported.xlsx]asreported!$A$57</c:f>
              <c:strCache>
                <c:ptCount val="1"/>
                <c:pt idx="0">
                  <c:v>Long-term operating lease obligations</c:v>
                </c:pt>
              </c:strCache>
            </c:strRef>
          </c:tx>
          <c:spPr>
            <a:ln w="19050" cap="rnd">
              <a:solidFill>
                <a:schemeClr val="accent6">
                  <a:lumMod val="50000"/>
                  <a:lumOff val="50000"/>
                </a:schemeClr>
              </a:solidFill>
              <a:round/>
            </a:ln>
            <a:effectLst/>
          </c:spPr>
          <c:marker>
            <c:symbol val="circle"/>
            <c:size val="5"/>
            <c:spPr>
              <a:solidFill>
                <a:schemeClr val="accent6">
                  <a:lumMod val="50000"/>
                  <a:lumOff val="50000"/>
                </a:schemeClr>
              </a:solidFill>
              <a:ln w="9525">
                <a:solidFill>
                  <a:schemeClr val="accent6">
                    <a:lumMod val="50000"/>
                    <a:lumOff val="50000"/>
                  </a:schemeClr>
                </a:solidFill>
              </a:ln>
              <a:effectLst/>
            </c:spPr>
          </c:marker>
          <c:trendline>
            <c:spPr>
              <a:ln w="19050" cap="rnd">
                <a:solidFill>
                  <a:schemeClr val="accent6">
                    <a:lumMod val="50000"/>
                    <a:lumOff val="50000"/>
                  </a:schemeClr>
                </a:solidFill>
                <a:prstDash val="sysDot"/>
              </a:ln>
              <a:effectLst/>
            </c:spPr>
            <c:trendlineType val="linear"/>
            <c:dispRSqr val="0"/>
            <c:dispEq val="0"/>
          </c:trendline>
          <c:xVal>
            <c:numRef>
              <c:f>[asreported.xlsx]asreported!$B$1:$K$3</c:f>
            </c:numRef>
          </c:xVal>
          <c:yVal>
            <c:numRef>
              <c:f>[asreported.xlsx]asreported!$B$57:$K$57</c:f>
              <c:numCache>
                <c:formatCode>General</c:formatCode>
                <c:ptCount val="10"/>
                <c:pt idx="0" formatCode="0">
                  <c:v>16171000</c:v>
                </c:pt>
                <c:pt idx="2">
                  <c:v>0</c:v>
                </c:pt>
                <c:pt idx="4">
                  <c:v>0</c:v>
                </c:pt>
                <c:pt idx="6">
                  <c:v>0</c:v>
                </c:pt>
                <c:pt idx="8">
                  <c:v>0</c:v>
                </c:pt>
              </c:numCache>
            </c:numRef>
          </c:yVal>
          <c:smooth val="0"/>
        </c:ser>
        <c:ser>
          <c:idx val="54"/>
          <c:order val="54"/>
          <c:tx>
            <c:strRef>
              <c:f>[asreported.xlsx]asreported!$A$58</c:f>
              <c:strCache>
                <c:ptCount val="1"/>
                <c:pt idx="0">
                  <c:v>Long-term finance lease obligations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[asreported.xlsx]asreported!$B$1:$K$3</c:f>
            </c:numRef>
          </c:xVal>
          <c:yVal>
            <c:numRef>
              <c:f>[asreported.xlsx]asreported!$B$58:$K$58</c:f>
              <c:numCache>
                <c:formatCode>General</c:formatCode>
                <c:ptCount val="10"/>
                <c:pt idx="0" formatCode="0">
                  <c:v>4307000</c:v>
                </c:pt>
                <c:pt idx="2">
                  <c:v>0</c:v>
                </c:pt>
                <c:pt idx="4">
                  <c:v>0</c:v>
                </c:pt>
                <c:pt idx="6">
                  <c:v>0</c:v>
                </c:pt>
                <c:pt idx="8">
                  <c:v>0</c:v>
                </c:pt>
              </c:numCache>
            </c:numRef>
          </c:yVal>
          <c:smooth val="0"/>
        </c:ser>
        <c:ser>
          <c:idx val="55"/>
          <c:order val="55"/>
          <c:tx>
            <c:strRef>
              <c:f>[asreported.xlsx]asreported!$A$59</c:f>
              <c:strCache>
                <c:ptCount val="1"/>
                <c:pt idx="0">
                  <c:v>Long-term capital lease &amp; financing obligations</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numRef>
              <c:f>[asreported.xlsx]asreported!$B$1:$K$3</c:f>
            </c:numRef>
          </c:xVal>
          <c:yVal>
            <c:numRef>
              <c:f>[asreported.xlsx]asreported!$B$59:$K$59</c:f>
              <c:numCache>
                <c:formatCode>General</c:formatCode>
                <c:ptCount val="10"/>
                <c:pt idx="0">
                  <c:v>0</c:v>
                </c:pt>
                <c:pt idx="2" formatCode="0">
                  <c:v>6683000</c:v>
                </c:pt>
                <c:pt idx="4" formatCode="0">
                  <c:v>6780000</c:v>
                </c:pt>
                <c:pt idx="6" formatCode="0">
                  <c:v>6003000</c:v>
                </c:pt>
                <c:pt idx="8" formatCode="0">
                  <c:v>5816000</c:v>
                </c:pt>
              </c:numCache>
            </c:numRef>
          </c:yVal>
          <c:smooth val="0"/>
        </c:ser>
        <c:ser>
          <c:idx val="56"/>
          <c:order val="56"/>
          <c:tx>
            <c:strRef>
              <c:f>[asreported.xlsx]asreported!$A$60</c:f>
              <c:strCache>
                <c:ptCount val="1"/>
                <c:pt idx="0">
                  <c:v>Deferred income taxes &amp; other liabilities</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numRef>
              <c:f>[asreported.xlsx]asreported!$B$1:$K$3</c:f>
            </c:numRef>
          </c:xVal>
          <c:yVal>
            <c:numRef>
              <c:f>[asreported.xlsx]asreported!$B$60:$K$60</c:f>
              <c:numCache>
                <c:formatCode>General</c:formatCode>
                <c:ptCount val="10"/>
                <c:pt idx="0" formatCode="0">
                  <c:v>12961000</c:v>
                </c:pt>
                <c:pt idx="2" formatCode="0">
                  <c:v>11981000</c:v>
                </c:pt>
                <c:pt idx="4" formatCode="0">
                  <c:v>8354000</c:v>
                </c:pt>
                <c:pt idx="6" formatCode="0">
                  <c:v>9344000</c:v>
                </c:pt>
                <c:pt idx="8" formatCode="0">
                  <c:v>7321000</c:v>
                </c:pt>
              </c:numCache>
            </c:numRef>
          </c:yVal>
          <c:smooth val="0"/>
        </c:ser>
        <c:ser>
          <c:idx val="57"/>
          <c:order val="57"/>
          <c:tx>
            <c:strRef>
              <c:f>[asreported.xlsx]asreported!$A$61</c:f>
              <c:strCache>
                <c:ptCount val="1"/>
                <c:pt idx="0">
                  <c:v>Common stock</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0"/>
          </c:trendline>
          <c:xVal>
            <c:numRef>
              <c:f>[asreported.xlsx]asreported!$B$1:$K$3</c:f>
            </c:numRef>
          </c:xVal>
          <c:yVal>
            <c:numRef>
              <c:f>[asreported.xlsx]asreported!$B$61:$K$61</c:f>
              <c:numCache>
                <c:formatCode>General</c:formatCode>
                <c:ptCount val="10"/>
                <c:pt idx="0" formatCode="0">
                  <c:v>284000</c:v>
                </c:pt>
                <c:pt idx="2" formatCode="0">
                  <c:v>288000</c:v>
                </c:pt>
                <c:pt idx="4" formatCode="0">
                  <c:v>295000</c:v>
                </c:pt>
                <c:pt idx="6" formatCode="0">
                  <c:v>305000</c:v>
                </c:pt>
                <c:pt idx="8" formatCode="0">
                  <c:v>317000</c:v>
                </c:pt>
              </c:numCache>
            </c:numRef>
          </c:yVal>
          <c:smooth val="0"/>
        </c:ser>
        <c:ser>
          <c:idx val="58"/>
          <c:order val="58"/>
          <c:tx>
            <c:strRef>
              <c:f>[asreported.xlsx]asreported!$A$62</c:f>
              <c:strCache>
                <c:ptCount val="1"/>
                <c:pt idx="0">
                  <c:v>Capital in excess of par value</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dispRSqr val="0"/>
            <c:dispEq val="0"/>
          </c:trendline>
          <c:xVal>
            <c:numRef>
              <c:f>[asreported.xlsx]asreported!$B$1:$K$3</c:f>
            </c:numRef>
          </c:xVal>
          <c:yVal>
            <c:numRef>
              <c:f>[asreported.xlsx]asreported!$B$62:$K$62</c:f>
              <c:numCache>
                <c:formatCode>General</c:formatCode>
                <c:ptCount val="10"/>
                <c:pt idx="0" formatCode="0">
                  <c:v>3247000</c:v>
                </c:pt>
                <c:pt idx="2" formatCode="0">
                  <c:v>2965000</c:v>
                </c:pt>
                <c:pt idx="4" formatCode="0">
                  <c:v>2648000</c:v>
                </c:pt>
                <c:pt idx="6" formatCode="0">
                  <c:v>2371000</c:v>
                </c:pt>
                <c:pt idx="8" formatCode="0">
                  <c:v>1805000</c:v>
                </c:pt>
              </c:numCache>
            </c:numRef>
          </c:yVal>
          <c:smooth val="0"/>
        </c:ser>
        <c:ser>
          <c:idx val="59"/>
          <c:order val="59"/>
          <c:tx>
            <c:strRef>
              <c:f>[asreported.xlsx]asreported!$A$63</c:f>
              <c:strCache>
                <c:ptCount val="1"/>
                <c:pt idx="0">
                  <c:v>Retained earnings (accumulated deficit)</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0"/>
            <c:dispEq val="0"/>
          </c:trendline>
          <c:xVal>
            <c:numRef>
              <c:f>[asreported.xlsx]asreported!$B$1:$K$3</c:f>
            </c:numRef>
          </c:xVal>
          <c:yVal>
            <c:numRef>
              <c:f>[asreported.xlsx]asreported!$B$63:$K$63</c:f>
              <c:numCache>
                <c:formatCode>General</c:formatCode>
                <c:ptCount val="10"/>
                <c:pt idx="0" formatCode="0">
                  <c:v>83943000</c:v>
                </c:pt>
                <c:pt idx="2" formatCode="0">
                  <c:v>80785000</c:v>
                </c:pt>
                <c:pt idx="4" formatCode="0">
                  <c:v>85107000</c:v>
                </c:pt>
                <c:pt idx="6" formatCode="0">
                  <c:v>89354000</c:v>
                </c:pt>
                <c:pt idx="8" formatCode="0">
                  <c:v>90021000</c:v>
                </c:pt>
              </c:numCache>
            </c:numRef>
          </c:yVal>
          <c:smooth val="0"/>
        </c:ser>
        <c:ser>
          <c:idx val="60"/>
          <c:order val="60"/>
          <c:tx>
            <c:strRef>
              <c:f>[asreported.xlsx]asreported!$A$64</c:f>
              <c:strCache>
                <c:ptCount val="1"/>
                <c:pt idx="0">
                  <c:v>Currency translation &amp; other</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trendline>
            <c:spPr>
              <a:ln w="19050" cap="rnd">
                <a:solidFill>
                  <a:schemeClr val="accent1">
                    <a:lumMod val="60000"/>
                  </a:schemeClr>
                </a:solidFill>
                <a:prstDash val="sysDot"/>
              </a:ln>
              <a:effectLst/>
            </c:spPr>
            <c:trendlineType val="linear"/>
            <c:dispRSqr val="0"/>
            <c:dispEq val="0"/>
          </c:trendline>
          <c:xVal>
            <c:numRef>
              <c:f>[asreported.xlsx]asreported!$B$1:$K$3</c:f>
            </c:numRef>
          </c:xVal>
          <c:yVal>
            <c:numRef>
              <c:f>[asreported.xlsx]asreported!$B$64:$K$64</c:f>
              <c:numCache>
                <c:formatCode>General</c:formatCode>
                <c:ptCount val="10"/>
                <c:pt idx="0" formatCode="0">
                  <c:v>-11827000</c:v>
                </c:pt>
                <c:pt idx="2" formatCode="0">
                  <c:v>-12085000</c:v>
                </c:pt>
                <c:pt idx="4" formatCode="0">
                  <c:v>-12136000</c:v>
                </c:pt>
                <c:pt idx="6" formatCode="0">
                  <c:v>-14362000</c:v>
                </c:pt>
                <c:pt idx="8" formatCode="0">
                  <c:v>-11690000</c:v>
                </c:pt>
              </c:numCache>
            </c:numRef>
          </c:yVal>
          <c:smooth val="0"/>
        </c:ser>
        <c:ser>
          <c:idx val="61"/>
          <c:order val="61"/>
          <c:tx>
            <c:strRef>
              <c:f>[asreported.xlsx]asreported!$A$65</c:f>
              <c:strCache>
                <c:ptCount val="1"/>
                <c:pt idx="0">
                  <c:v>Net investment hedges</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trendline>
            <c:spPr>
              <a:ln w="19050" cap="rnd">
                <a:solidFill>
                  <a:schemeClr val="accent2">
                    <a:lumMod val="60000"/>
                  </a:schemeClr>
                </a:solidFill>
                <a:prstDash val="sysDot"/>
              </a:ln>
              <a:effectLst/>
            </c:spPr>
            <c:trendlineType val="linear"/>
            <c:dispRSqr val="0"/>
            <c:dispEq val="0"/>
          </c:trendline>
          <c:xVal>
            <c:numRef>
              <c:f>[asreported.xlsx]asreported!$B$1:$K$3</c:f>
            </c:numRef>
          </c:xVal>
          <c:yVal>
            <c:numRef>
              <c:f>[asreported.xlsx]asreported!$B$65:$K$65</c:f>
              <c:numCache>
                <c:formatCode>General</c:formatCode>
                <c:ptCount val="10"/>
                <c:pt idx="0" formatCode="0">
                  <c:v>1517000</c:v>
                </c:pt>
                <c:pt idx="2" formatCode="0">
                  <c:v>1395000</c:v>
                </c:pt>
                <c:pt idx="4" formatCode="0">
                  <c:v>1030000</c:v>
                </c:pt>
                <c:pt idx="6" formatCode="0">
                  <c:v>1435000</c:v>
                </c:pt>
                <c:pt idx="8" formatCode="0">
                  <c:v>1022000</c:v>
                </c:pt>
              </c:numCache>
            </c:numRef>
          </c:yVal>
          <c:smooth val="0"/>
        </c:ser>
        <c:ser>
          <c:idx val="62"/>
          <c:order val="62"/>
          <c:tx>
            <c:strRef>
              <c:f>[asreported.xlsx]asreported!$A$66</c:f>
              <c:strCache>
                <c:ptCount val="1"/>
                <c:pt idx="0">
                  <c:v>Unrealized gain on available-for-sale securities</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trendline>
            <c:spPr>
              <a:ln w="19050" cap="rnd">
                <a:solidFill>
                  <a:schemeClr val="accent3">
                    <a:lumMod val="60000"/>
                  </a:schemeClr>
                </a:solidFill>
                <a:prstDash val="sysDot"/>
              </a:ln>
              <a:effectLst/>
            </c:spPr>
            <c:trendlineType val="linear"/>
            <c:dispRSqr val="0"/>
            <c:dispEq val="0"/>
          </c:trendline>
          <c:xVal>
            <c:numRef>
              <c:f>[asreported.xlsx]asreported!$B$1:$K$3</c:f>
            </c:numRef>
          </c:xVal>
          <c:yVal>
            <c:numRef>
              <c:f>[asreported.xlsx]asreported!$B$66:$K$66</c:f>
              <c:numCache>
                <c:formatCode>General</c:formatCode>
                <c:ptCount val="10"/>
                <c:pt idx="0">
                  <c:v>0</c:v>
                </c:pt>
                <c:pt idx="2">
                  <c:v>0</c:v>
                </c:pt>
                <c:pt idx="4" formatCode="0">
                  <c:v>1646000</c:v>
                </c:pt>
                <c:pt idx="6">
                  <c:v>0</c:v>
                </c:pt>
                <c:pt idx="8">
                  <c:v>0</c:v>
                </c:pt>
              </c:numCache>
            </c:numRef>
          </c:yVal>
          <c:smooth val="0"/>
        </c:ser>
        <c:ser>
          <c:idx val="63"/>
          <c:order val="63"/>
          <c:tx>
            <c:strRef>
              <c:f>[asreported.xlsx]asreported!$A$67</c:f>
              <c:strCache>
                <c:ptCount val="1"/>
                <c:pt idx="0">
                  <c:v>Cash flow hedges</c:v>
                </c:pt>
              </c:strCache>
            </c:strRef>
          </c:tx>
          <c:spPr>
            <a:ln w="19050"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trendline>
            <c:spPr>
              <a:ln w="19050" cap="rnd">
                <a:solidFill>
                  <a:schemeClr val="accent4">
                    <a:lumMod val="60000"/>
                  </a:schemeClr>
                </a:solidFill>
                <a:prstDash val="sysDot"/>
              </a:ln>
              <a:effectLst/>
            </c:spPr>
            <c:trendlineType val="linear"/>
            <c:dispRSqr val="0"/>
            <c:dispEq val="0"/>
          </c:trendline>
          <c:xVal>
            <c:numRef>
              <c:f>[asreported.xlsx]asreported!$B$1:$K$3</c:f>
            </c:numRef>
          </c:xVal>
          <c:yVal>
            <c:numRef>
              <c:f>[asreported.xlsx]asreported!$B$67:$K$67</c:f>
              <c:numCache>
                <c:formatCode>General</c:formatCode>
                <c:ptCount val="10"/>
                <c:pt idx="0" formatCode="0">
                  <c:v>-539000</c:v>
                </c:pt>
                <c:pt idx="2" formatCode="0">
                  <c:v>-140000</c:v>
                </c:pt>
                <c:pt idx="4" formatCode="0">
                  <c:v>122000</c:v>
                </c:pt>
                <c:pt idx="6" formatCode="0">
                  <c:v>-315000</c:v>
                </c:pt>
                <c:pt idx="8" formatCode="0">
                  <c:v>-336000</c:v>
                </c:pt>
              </c:numCache>
            </c:numRef>
          </c:yVal>
          <c:smooth val="0"/>
        </c:ser>
        <c:ser>
          <c:idx val="64"/>
          <c:order val="64"/>
          <c:tx>
            <c:strRef>
              <c:f>[asreported.xlsx]asreported!$A$68</c:f>
              <c:strCache>
                <c:ptCount val="1"/>
                <c:pt idx="0">
                  <c:v>Minimum pension liability</c:v>
                </c:pt>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trendline>
            <c:spPr>
              <a:ln w="19050" cap="rnd">
                <a:solidFill>
                  <a:schemeClr val="accent5">
                    <a:lumMod val="60000"/>
                  </a:schemeClr>
                </a:solidFill>
                <a:prstDash val="sysDot"/>
              </a:ln>
              <a:effectLst/>
            </c:spPr>
            <c:trendlineType val="linear"/>
            <c:dispRSqr val="0"/>
            <c:dispEq val="0"/>
          </c:trendline>
          <c:xVal>
            <c:numRef>
              <c:f>[asreported.xlsx]asreported!$B$1:$K$3</c:f>
            </c:numRef>
          </c:xVal>
          <c:yVal>
            <c:numRef>
              <c:f>[asreported.xlsx]asreported!$B$68:$K$68</c:f>
              <c:numCache>
                <c:formatCode>General</c:formatCode>
                <c:ptCount val="10"/>
                <c:pt idx="0" formatCode="0">
                  <c:v>-1956000</c:v>
                </c:pt>
                <c:pt idx="2" formatCode="0">
                  <c:v>-712000</c:v>
                </c:pt>
                <c:pt idx="4" formatCode="0">
                  <c:v>-843000</c:v>
                </c:pt>
                <c:pt idx="6" formatCode="0">
                  <c:v>-990000</c:v>
                </c:pt>
                <c:pt idx="8" formatCode="0">
                  <c:v>-593000</c:v>
                </c:pt>
              </c:numCache>
            </c:numRef>
          </c:yVal>
          <c:smooth val="0"/>
        </c:ser>
        <c:ser>
          <c:idx val="65"/>
          <c:order val="65"/>
          <c:tx>
            <c:strRef>
              <c:f>[asreported.xlsx]asreported!$A$69</c:f>
              <c:strCache>
                <c:ptCount val="1"/>
                <c:pt idx="0">
                  <c:v>Accumulated other comprehensive income (loss)</c:v>
                </c:pt>
              </c:strCache>
            </c:strRef>
          </c:tx>
          <c:spPr>
            <a:ln w="19050"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trendline>
            <c:spPr>
              <a:ln w="19050" cap="rnd">
                <a:solidFill>
                  <a:schemeClr val="accent6">
                    <a:lumMod val="60000"/>
                  </a:schemeClr>
                </a:solidFill>
                <a:prstDash val="sysDot"/>
              </a:ln>
              <a:effectLst/>
            </c:spPr>
            <c:trendlineType val="linear"/>
            <c:dispRSqr val="0"/>
            <c:dispEq val="0"/>
          </c:trendline>
          <c:xVal>
            <c:numRef>
              <c:f>[asreported.xlsx]asreported!$B$1:$K$3</c:f>
            </c:numRef>
          </c:xVal>
          <c:yVal>
            <c:numRef>
              <c:f>[asreported.xlsx]asreported!$B$69:$K$69</c:f>
              <c:numCache>
                <c:formatCode>General</c:formatCode>
                <c:ptCount val="10"/>
                <c:pt idx="0" formatCode="0">
                  <c:v>-12805000</c:v>
                </c:pt>
                <c:pt idx="2" formatCode="0">
                  <c:v>-11542000</c:v>
                </c:pt>
                <c:pt idx="4" formatCode="0">
                  <c:v>-10181000</c:v>
                </c:pt>
                <c:pt idx="6" formatCode="0">
                  <c:v>-14232000</c:v>
                </c:pt>
                <c:pt idx="8" formatCode="0">
                  <c:v>-11597000</c:v>
                </c:pt>
              </c:numCache>
            </c:numRef>
          </c:yVal>
          <c:smooth val="0"/>
        </c:ser>
        <c:ser>
          <c:idx val="66"/>
          <c:order val="66"/>
          <c:tx>
            <c:strRef>
              <c:f>[asreported.xlsx]asreported!$A$70</c:f>
              <c:strCache>
                <c:ptCount val="1"/>
                <c:pt idx="0">
                  <c:v>Total Walmart shareholders' equity</c:v>
                </c:pt>
              </c:strCache>
            </c:strRef>
          </c:tx>
          <c:spPr>
            <a:ln w="19050"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trendline>
            <c:spPr>
              <a:ln w="19050" cap="rnd">
                <a:solidFill>
                  <a:schemeClr val="accent1">
                    <a:lumMod val="80000"/>
                    <a:lumOff val="20000"/>
                  </a:schemeClr>
                </a:solidFill>
                <a:prstDash val="sysDot"/>
              </a:ln>
              <a:effectLst/>
            </c:spPr>
            <c:trendlineType val="linear"/>
            <c:dispRSqr val="0"/>
            <c:dispEq val="0"/>
          </c:trendline>
          <c:xVal>
            <c:numRef>
              <c:f>[asreported.xlsx]asreported!$B$1:$K$3</c:f>
            </c:numRef>
          </c:xVal>
          <c:yVal>
            <c:numRef>
              <c:f>[asreported.xlsx]asreported!$B$70:$K$70</c:f>
              <c:numCache>
                <c:formatCode>General</c:formatCode>
                <c:ptCount val="10"/>
                <c:pt idx="0" formatCode="0">
                  <c:v>74669000</c:v>
                </c:pt>
                <c:pt idx="2" formatCode="0">
                  <c:v>72496000</c:v>
                </c:pt>
                <c:pt idx="4" formatCode="0">
                  <c:v>77869000</c:v>
                </c:pt>
                <c:pt idx="6" formatCode="0">
                  <c:v>77798000</c:v>
                </c:pt>
                <c:pt idx="8" formatCode="0">
                  <c:v>80546000</c:v>
                </c:pt>
              </c:numCache>
            </c:numRef>
          </c:yVal>
          <c:smooth val="0"/>
        </c:ser>
        <c:ser>
          <c:idx val="67"/>
          <c:order val="67"/>
          <c:tx>
            <c:strRef>
              <c:f>[asreported.xlsx]asreported!$A$71</c:f>
              <c:strCache>
                <c:ptCount val="1"/>
                <c:pt idx="0">
                  <c:v>Noncontrolling interest</c:v>
                </c:pt>
              </c:strCache>
            </c:strRef>
          </c:tx>
          <c:spPr>
            <a:ln w="19050"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trendline>
            <c:spPr>
              <a:ln w="19050" cap="rnd">
                <a:solidFill>
                  <a:schemeClr val="accent2">
                    <a:lumMod val="80000"/>
                    <a:lumOff val="20000"/>
                  </a:schemeClr>
                </a:solidFill>
                <a:prstDash val="sysDot"/>
              </a:ln>
              <a:effectLst/>
            </c:spPr>
            <c:trendlineType val="linear"/>
            <c:dispRSqr val="0"/>
            <c:dispEq val="0"/>
          </c:trendline>
          <c:xVal>
            <c:numRef>
              <c:f>[asreported.xlsx]asreported!$B$1:$K$3</c:f>
            </c:numRef>
          </c:xVal>
          <c:yVal>
            <c:numRef>
              <c:f>[asreported.xlsx]asreported!$B$71:$K$71</c:f>
              <c:numCache>
                <c:formatCode>General</c:formatCode>
                <c:ptCount val="10"/>
                <c:pt idx="0" formatCode="0">
                  <c:v>6883000</c:v>
                </c:pt>
                <c:pt idx="2" formatCode="0">
                  <c:v>7138000</c:v>
                </c:pt>
                <c:pt idx="4" formatCode="0">
                  <c:v>2953000</c:v>
                </c:pt>
                <c:pt idx="6">
                  <c:v>0</c:v>
                </c:pt>
                <c:pt idx="8">
                  <c:v>0</c:v>
                </c:pt>
              </c:numCache>
            </c:numRef>
          </c:yVal>
          <c:smooth val="0"/>
        </c:ser>
        <c:ser>
          <c:idx val="68"/>
          <c:order val="68"/>
          <c:tx>
            <c:strRef>
              <c:f>[asreported.xlsx]asreported!$A$72</c:f>
              <c:strCache>
                <c:ptCount val="1"/>
                <c:pt idx="0">
                  <c:v>Nonredeemable noncontrolling interest</c:v>
                </c:pt>
              </c:strCache>
            </c:strRef>
          </c:tx>
          <c:spPr>
            <a:ln w="19050" cap="rnd">
              <a:solidFill>
                <a:schemeClr val="accent3">
                  <a:lumMod val="80000"/>
                  <a:lumOff val="20000"/>
                </a:schemeClr>
              </a:solid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trendline>
            <c:spPr>
              <a:ln w="19050" cap="rnd">
                <a:solidFill>
                  <a:schemeClr val="accent3">
                    <a:lumMod val="80000"/>
                    <a:lumOff val="20000"/>
                  </a:schemeClr>
                </a:solidFill>
                <a:prstDash val="sysDot"/>
              </a:ln>
              <a:effectLst/>
            </c:spPr>
            <c:trendlineType val="linear"/>
            <c:dispRSqr val="0"/>
            <c:dispEq val="0"/>
          </c:trendline>
          <c:xVal>
            <c:numRef>
              <c:f>[asreported.xlsx]asreported!$B$1:$K$3</c:f>
            </c:numRef>
          </c:xVal>
          <c:yVal>
            <c:numRef>
              <c:f>[asreported.xlsx]asreported!$B$72:$K$72</c:f>
              <c:numCache>
                <c:formatCode>General</c:formatCode>
                <c:ptCount val="10"/>
                <c:pt idx="0">
                  <c:v>0</c:v>
                </c:pt>
                <c:pt idx="2">
                  <c:v>0</c:v>
                </c:pt>
                <c:pt idx="4">
                  <c:v>0</c:v>
                </c:pt>
                <c:pt idx="6" formatCode="0">
                  <c:v>2737000</c:v>
                </c:pt>
                <c:pt idx="8" formatCode="0">
                  <c:v>3065000</c:v>
                </c:pt>
              </c:numCache>
            </c:numRef>
          </c:yVal>
          <c:smooth val="0"/>
        </c:ser>
        <c:ser>
          <c:idx val="69"/>
          <c:order val="69"/>
          <c:tx>
            <c:strRef>
              <c:f>[asreported.xlsx]asreported!$A$73</c:f>
              <c:strCache>
                <c:ptCount val="1"/>
                <c:pt idx="0">
                  <c:v>Total equity</c:v>
                </c:pt>
              </c:strCache>
            </c:strRef>
          </c:tx>
          <c:spPr>
            <a:ln w="19050" cap="rnd">
              <a:solidFill>
                <a:schemeClr val="accent4">
                  <a:lumMod val="80000"/>
                  <a:lumOff val="20000"/>
                </a:schemeClr>
              </a:solid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trendline>
            <c:spPr>
              <a:ln w="19050" cap="rnd">
                <a:solidFill>
                  <a:schemeClr val="accent4">
                    <a:lumMod val="80000"/>
                    <a:lumOff val="20000"/>
                  </a:schemeClr>
                </a:solidFill>
                <a:prstDash val="sysDot"/>
              </a:ln>
              <a:effectLst/>
            </c:spPr>
            <c:trendlineType val="linear"/>
            <c:dispRSqr val="0"/>
            <c:dispEq val="0"/>
          </c:trendline>
          <c:xVal>
            <c:numRef>
              <c:f>[asreported.xlsx]asreported!$B$1:$K$3</c:f>
            </c:numRef>
          </c:xVal>
          <c:yVal>
            <c:numRef>
              <c:f>[asreported.xlsx]asreported!$B$73:$K$73</c:f>
              <c:numCache>
                <c:formatCode>General</c:formatCode>
                <c:ptCount val="10"/>
                <c:pt idx="0" formatCode="0">
                  <c:v>81552000</c:v>
                </c:pt>
                <c:pt idx="2" formatCode="0">
                  <c:v>79634000</c:v>
                </c:pt>
                <c:pt idx="4" formatCode="0">
                  <c:v>80822000</c:v>
                </c:pt>
                <c:pt idx="6" formatCode="0">
                  <c:v>80535000</c:v>
                </c:pt>
                <c:pt idx="8" formatCode="0">
                  <c:v>83611000</c:v>
                </c:pt>
              </c:numCache>
            </c:numRef>
          </c:yVal>
          <c:smooth val="0"/>
        </c:ser>
        <c:dLbls>
          <c:showLegendKey val="0"/>
          <c:showVal val="0"/>
          <c:showCatName val="0"/>
          <c:showSerName val="0"/>
          <c:showPercent val="0"/>
          <c:showBubbleSize val="0"/>
        </c:dLbls>
        <c:axId val="369164064"/>
        <c:axId val="369162104"/>
      </c:scatterChart>
      <c:valAx>
        <c:axId val="3691640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scale</a:t>
                </a:r>
                <a:r>
                  <a:rPr lang="en-US" baseline="0"/>
                  <a:t> </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162104"/>
        <c:crosses val="autoZero"/>
        <c:crossBetween val="midCat"/>
      </c:valAx>
      <c:valAx>
        <c:axId val="36916210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valuables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16406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1204</TotalTime>
  <Pages>12</Pages>
  <Words>2346</Words>
  <Characters>13377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154</cp:revision>
  <dcterms:created xsi:type="dcterms:W3CDTF">2020-12-06T04:35:00Z</dcterms:created>
  <dcterms:modified xsi:type="dcterms:W3CDTF">2020-12-08T02:47:00Z</dcterms:modified>
</cp:coreProperties>
</file>